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CA1B" w14:textId="7105FF6A" w:rsidR="00EC48A8" w:rsidRDefault="001936CC">
      <w:pPr>
        <w:tabs>
          <w:tab w:val="left" w:pos="5245"/>
        </w:tabs>
        <w:jc w:val="center"/>
        <w:rPr>
          <w:rFonts w:eastAsia="Times New Roman" w:cstheme="minorHAnsi"/>
          <w:b/>
          <w:sz w:val="44"/>
          <w:szCs w:val="44"/>
        </w:rPr>
      </w:pPr>
      <w:r>
        <w:rPr>
          <w:rFonts w:eastAsia="Times New Roman" w:cstheme="minorHAnsi"/>
          <w:b/>
          <w:sz w:val="44"/>
          <w:szCs w:val="44"/>
        </w:rPr>
        <w:t>9</w:t>
      </w:r>
      <w:r w:rsidR="00006ADB">
        <w:rPr>
          <w:rFonts w:eastAsia="Times New Roman" w:cstheme="minorHAnsi"/>
          <w:b/>
          <w:sz w:val="44"/>
          <w:szCs w:val="44"/>
        </w:rPr>
        <w:t>48</w:t>
      </w:r>
      <w:r>
        <w:rPr>
          <w:rFonts w:eastAsia="Times New Roman" w:cstheme="minorHAnsi"/>
          <w:b/>
          <w:sz w:val="44"/>
          <w:szCs w:val="44"/>
        </w:rPr>
        <w:t xml:space="preserve"> pazienti “immunizzati”</w:t>
      </w:r>
      <w:r w:rsidR="007763D3">
        <w:rPr>
          <w:rFonts w:eastAsia="Times New Roman" w:cstheme="minorHAnsi"/>
          <w:b/>
          <w:sz w:val="44"/>
          <w:szCs w:val="44"/>
        </w:rPr>
        <w:t xml:space="preserve"> nel finesettimana</w:t>
      </w:r>
    </w:p>
    <w:p w14:paraId="70827294" w14:textId="0D3DA278" w:rsidR="006217D6" w:rsidRDefault="006217D6">
      <w:pPr>
        <w:tabs>
          <w:tab w:val="left" w:pos="5245"/>
        </w:tabs>
        <w:jc w:val="center"/>
        <w:rPr>
          <w:rFonts w:eastAsia="Times New Roman" w:cstheme="minorHAnsi"/>
          <w:b/>
          <w:sz w:val="44"/>
          <w:szCs w:val="44"/>
        </w:rPr>
      </w:pPr>
      <w:r>
        <w:rPr>
          <w:rFonts w:eastAsia="Times New Roman" w:cstheme="minorHAnsi"/>
          <w:b/>
          <w:sz w:val="44"/>
          <w:szCs w:val="44"/>
        </w:rPr>
        <w:t>IOV capofila in Veneto</w:t>
      </w:r>
    </w:p>
    <w:p w14:paraId="11BD3FA9" w14:textId="77777777" w:rsidR="007763D3" w:rsidRPr="00F32743" w:rsidRDefault="007763D3">
      <w:pPr>
        <w:tabs>
          <w:tab w:val="left" w:pos="5245"/>
        </w:tabs>
        <w:jc w:val="center"/>
        <w:rPr>
          <w:rFonts w:eastAsia="Times New Roman" w:cstheme="minorHAnsi"/>
          <w:b/>
          <w:sz w:val="44"/>
          <w:szCs w:val="44"/>
        </w:rPr>
      </w:pPr>
    </w:p>
    <w:p w14:paraId="0A43D906" w14:textId="1613D4A9" w:rsidR="0047495A" w:rsidRDefault="00AE6196" w:rsidP="00F32743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F32743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Padova</w:t>
      </w:r>
      <w:r w:rsidR="006217D6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 - Treviso</w:t>
      </w:r>
      <w:r w:rsidRPr="00F32743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, </w:t>
      </w:r>
      <w:r w:rsidR="001C51E1" w:rsidRPr="00F32743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2</w:t>
      </w:r>
      <w:r w:rsidR="001936CC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8</w:t>
      </w:r>
      <w:r w:rsidR="001C51E1" w:rsidRPr="00F32743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 marzo</w:t>
      </w:r>
      <w:r w:rsidRPr="00F32743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 2021</w:t>
      </w:r>
      <w:r w:rsidRPr="00F32743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  <w:bookmarkStart w:id="0" w:name="_Hlk65784049"/>
      <w:r w:rsidRPr="00F3274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bookmarkEnd w:id="0"/>
      <w:r w:rsidR="00F07F80" w:rsidRPr="006E495D">
        <w:rPr>
          <w:rFonts w:asciiTheme="minorHAnsi" w:hAnsiTheme="minorHAnsi"/>
          <w:b/>
          <w:color w:val="262626" w:themeColor="text1" w:themeTint="D9"/>
          <w:sz w:val="24"/>
          <w:szCs w:val="24"/>
        </w:rPr>
        <w:t>I primi 9</w:t>
      </w:r>
      <w:r w:rsidR="00006ADB" w:rsidRPr="006E495D">
        <w:rPr>
          <w:rFonts w:asciiTheme="minorHAnsi" w:hAnsiTheme="minorHAnsi"/>
          <w:b/>
          <w:color w:val="262626" w:themeColor="text1" w:themeTint="D9"/>
          <w:sz w:val="24"/>
          <w:szCs w:val="24"/>
        </w:rPr>
        <w:t>48</w:t>
      </w:r>
      <w:r w:rsidR="00F07F80" w:rsidRPr="006E495D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pazienti dell’Istituto Oncologico Veneto IRCCS hanno completato il ciclo vaccinale,</w:t>
      </w:r>
      <w:r w:rsidR="00F07F80" w:rsidRPr="00F07F8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ottenendo così un’importante protezione dal Covid-19</w:t>
      </w:r>
      <w:r w:rsidR="006217D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Nella sede di Castelfranco Veneto, ieri, sabato 27 marzo, hanno effettuato il richiamo 150 persone. Nella sede di Padova, oggi, domenica 28 marzo, 798 pazienti </w:t>
      </w:r>
      <w:r w:rsid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>sono programmati per la</w:t>
      </w:r>
      <w:r w:rsidR="006217D6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seconda dose. </w:t>
      </w:r>
      <w:r w:rsid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>Se qualcuno non si presenta all’appuntamento per problemi personali, viene sempre sostituito da altri pazienti in lista d’attesa per la prima dose.</w:t>
      </w:r>
    </w:p>
    <w:p w14:paraId="62125FEE" w14:textId="284A8770" w:rsidR="00F07F80" w:rsidRDefault="00F07F80" w:rsidP="00F32743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47495A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Lo IOV è capofila in Veneto per numero di pazienti oncologici e </w:t>
      </w:r>
      <w:proofErr w:type="spellStart"/>
      <w:r w:rsidRPr="0047495A">
        <w:rPr>
          <w:rFonts w:asciiTheme="minorHAnsi" w:hAnsiTheme="minorHAnsi"/>
          <w:b/>
          <w:color w:val="262626" w:themeColor="text1" w:themeTint="D9"/>
          <w:sz w:val="24"/>
          <w:szCs w:val="24"/>
        </w:rPr>
        <w:t>oncoematologici</w:t>
      </w:r>
      <w:proofErr w:type="spellEnd"/>
      <w:r w:rsidRPr="0047495A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coinvolti nella campagna vaccinale contro il Covid-19.</w:t>
      </w:r>
      <w:r w:rsidRPr="00F07F8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Non ha perso tempo prezioso il direttore generale Patrizia Benini che, sin dai primi giorni alla direzione dell’Istituto, si è dedicata all’organizzazione del piano vaccinale nelle sedi di Padova e Castelfranco. Un risultato ottenuto grazie all’intesa con la Regione Veneto e grazie alla collaborazione del personale medico e sanitario dello IOV</w:t>
      </w:r>
      <w:r w:rsidR="00594232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</w:t>
      </w:r>
    </w:p>
    <w:p w14:paraId="5DB10E6A" w14:textId="2A116A7C" w:rsidR="00613F53" w:rsidRDefault="00F07F80" w:rsidP="00F32743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Le vaccinazioni allo IOV sono iniziate il 6 marzo scorso. In questa prima fase sono stati coinvolti</w:t>
      </w:r>
      <w:r w:rsidRPr="00F07F8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Pr="0047495A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3.426 pazienti seguiti </w:t>
      </w:r>
      <w:r w:rsidR="00594232" w:rsidRPr="0047495A">
        <w:rPr>
          <w:rFonts w:asciiTheme="minorHAnsi" w:hAnsiTheme="minorHAnsi"/>
          <w:b/>
          <w:color w:val="262626" w:themeColor="text1" w:themeTint="D9"/>
          <w:sz w:val="24"/>
          <w:szCs w:val="24"/>
        </w:rPr>
        <w:t>dagli specialisti dell’Istituto</w:t>
      </w:r>
      <w:r w:rsidRPr="00F07F8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seguendo</w:t>
      </w:r>
      <w:r w:rsidRPr="00F07F8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un grado di priorità che considera innanzitutto i soggetti a maggiore rischio.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Nel rispetto delle linee guida dettate dalla Rete Oncologica Veneta (ROV), so</w:t>
      </w:r>
      <w:r w:rsidRPr="00F07F8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no stati vaccinati i pazienti in trattamento attivo, oncologico e radioterapico; i pazienti in nuova diagnosi per i quali è previsto l'inizio del trattamento; i pazienti che hanno concluso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la terapia</w:t>
      </w:r>
      <w:r w:rsidRPr="00F07F80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negli ultimi sei mesi.</w:t>
      </w:r>
      <w:r w:rsidR="00594232" w:rsidRPr="00594232">
        <w:t xml:space="preserve"> </w:t>
      </w:r>
      <w:r w:rsidR="00594232">
        <w:rPr>
          <w:rFonts w:asciiTheme="minorHAnsi" w:hAnsiTheme="minorHAnsi"/>
          <w:bCs/>
          <w:color w:val="262626" w:themeColor="text1" w:themeTint="D9"/>
          <w:sz w:val="24"/>
          <w:szCs w:val="24"/>
        </w:rPr>
        <w:t>A</w:t>
      </w:r>
      <w:r w:rsidR="00594232" w:rsidRPr="00594232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tutti è stato riservato il vaccino Pfizer.</w:t>
      </w:r>
      <w:r w:rsidR="00006ADB" w:rsidRPr="00006ADB">
        <w:t xml:space="preserve"> </w:t>
      </w:r>
      <w:r w:rsidR="00006ADB" w:rsidRP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>La selezione non si ferma mai,</w:t>
      </w:r>
      <w:r w:rsid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è continuativa:</w:t>
      </w:r>
      <w:r w:rsidR="00006ADB" w:rsidRP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>se nuovi</w:t>
      </w:r>
      <w:r w:rsidR="00006ADB" w:rsidRP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pazienti </w:t>
      </w:r>
      <w:r w:rsid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>rientrano nelle categorie citate, vengono prontamente</w:t>
      </w:r>
      <w:r w:rsidR="00006ADB" w:rsidRP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inseriti </w:t>
      </w:r>
      <w:r w:rsid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>ne</w:t>
      </w:r>
      <w:r w:rsidR="00006ADB" w:rsidRP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>lla programmazione vaccinale.</w:t>
      </w:r>
    </w:p>
    <w:p w14:paraId="249E0831" w14:textId="012D75AB" w:rsidR="00594232" w:rsidRPr="00006ADB" w:rsidRDefault="00594232" w:rsidP="00F32743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47495A">
        <w:rPr>
          <w:rFonts w:asciiTheme="minorHAnsi" w:hAnsiTheme="minorHAnsi"/>
          <w:bCs/>
          <w:color w:val="262626" w:themeColor="text1" w:themeTint="D9"/>
          <w:sz w:val="24"/>
          <w:szCs w:val="24"/>
        </w:rPr>
        <w:t>Dei 3.426 pazienti selezionati,</w:t>
      </w:r>
      <w:r w:rsidRPr="0047495A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583 sono </w:t>
      </w:r>
      <w:proofErr w:type="spellStart"/>
      <w:r w:rsidRPr="0047495A">
        <w:rPr>
          <w:rFonts w:asciiTheme="minorHAnsi" w:hAnsiTheme="minorHAnsi"/>
          <w:b/>
          <w:color w:val="262626" w:themeColor="text1" w:themeTint="D9"/>
          <w:sz w:val="24"/>
          <w:szCs w:val="24"/>
        </w:rPr>
        <w:t>oncoematologici</w:t>
      </w:r>
      <w:proofErr w:type="spellEnd"/>
      <w:r w:rsidRPr="0047495A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  <w:r w:rsidRPr="0047495A">
        <w:rPr>
          <w:rFonts w:asciiTheme="minorHAnsi" w:hAnsiTheme="minorHAnsi"/>
          <w:bCs/>
          <w:color w:val="262626" w:themeColor="text1" w:themeTint="D9"/>
          <w:sz w:val="24"/>
          <w:szCs w:val="24"/>
        </w:rPr>
        <w:t>(quindi affetti da tumori del sangue e degli organi che lo producono).</w:t>
      </w:r>
      <w:r w:rsidR="0047495A" w:rsidRPr="0047495A">
        <w:rPr>
          <w:bCs/>
        </w:rPr>
        <w:t xml:space="preserve"> </w:t>
      </w:r>
      <w:r w:rsidR="0047495A" w:rsidRPr="0047495A">
        <w:rPr>
          <w:rFonts w:asciiTheme="minorHAnsi" w:hAnsiTheme="minorHAnsi"/>
          <w:bCs/>
          <w:color w:val="262626" w:themeColor="text1" w:themeTint="D9"/>
          <w:sz w:val="24"/>
          <w:szCs w:val="24"/>
        </w:rPr>
        <w:t>Tra quest’ultimi ci sono anche</w:t>
      </w:r>
      <w:r w:rsidR="0047495A" w:rsidRPr="0047495A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42 pazienti </w:t>
      </w:r>
      <w:r w:rsidR="0047495A" w:rsidRPr="0047495A">
        <w:rPr>
          <w:rFonts w:asciiTheme="minorHAnsi" w:hAnsiTheme="minorHAnsi"/>
          <w:bCs/>
          <w:color w:val="262626" w:themeColor="text1" w:themeTint="D9"/>
          <w:sz w:val="24"/>
          <w:szCs w:val="24"/>
        </w:rPr>
        <w:t>che negli anni scorsi sono stati</w:t>
      </w:r>
      <w:r w:rsidR="0047495A" w:rsidRPr="0047495A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sottoposti a trapianto di midollo autologo.</w:t>
      </w:r>
      <w:r w:rsidR="00006ADB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</w:t>
      </w:r>
    </w:p>
    <w:p w14:paraId="164DD052" w14:textId="792ED5D5" w:rsidR="00594232" w:rsidRDefault="00594232" w:rsidP="00613F53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594232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Grazie all’arrivo di nuove forniture di vaccino Pfizer, </w:t>
      </w:r>
      <w:r w:rsidR="00006AD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nelle prossime settimane </w:t>
      </w:r>
      <w:r w:rsidRPr="0047495A">
        <w:rPr>
          <w:rFonts w:asciiTheme="minorHAnsi" w:hAnsiTheme="minorHAnsi"/>
          <w:b/>
          <w:color w:val="262626" w:themeColor="text1" w:themeTint="D9"/>
          <w:sz w:val="24"/>
          <w:szCs w:val="24"/>
        </w:rPr>
        <w:t>la vaccinazione verrà estesa ai pazienti che hanno concluso il trattamento negli ultimi 12 mesi</w:t>
      </w:r>
      <w:r w:rsidRPr="00594232">
        <w:rPr>
          <w:rFonts w:asciiTheme="minorHAnsi" w:hAnsiTheme="minorHAnsi"/>
          <w:bCs/>
          <w:color w:val="262626" w:themeColor="text1" w:themeTint="D9"/>
          <w:sz w:val="24"/>
          <w:szCs w:val="24"/>
        </w:rPr>
        <w:t>. E poi, a seguire, ad altre classi secondo le indicazioni dei Piani Operativi Regionali.</w:t>
      </w:r>
    </w:p>
    <w:p w14:paraId="14CE54D4" w14:textId="7F1FFA19" w:rsidR="00006ADB" w:rsidRDefault="00006ADB" w:rsidP="00613F53">
      <w:pPr>
        <w:tabs>
          <w:tab w:val="left" w:pos="5245"/>
        </w:tabs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lastRenderedPageBreak/>
        <w:t xml:space="preserve">Lo IOV ha iniziato a raccogliere </w:t>
      </w:r>
      <w:r w:rsidRPr="006E495D">
        <w:rPr>
          <w:rFonts w:asciiTheme="minorHAnsi" w:hAnsiTheme="minorHAnsi"/>
          <w:b/>
          <w:color w:val="262626" w:themeColor="text1" w:themeTint="D9"/>
          <w:sz w:val="24"/>
          <w:szCs w:val="24"/>
        </w:rPr>
        <w:t>i nomi dei conviventi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dei pazienti vaccinati, al fine di inserirli nel piano vaccinale della loro azienda sanitaria di appartenenza. </w:t>
      </w:r>
      <w:r w:rsidRPr="006E495D">
        <w:rPr>
          <w:rFonts w:asciiTheme="minorHAnsi" w:hAnsiTheme="minorHAnsi"/>
          <w:b/>
          <w:color w:val="262626" w:themeColor="text1" w:themeTint="D9"/>
          <w:sz w:val="24"/>
          <w:szCs w:val="24"/>
        </w:rPr>
        <w:t>Il modulo viene fatto compilare nel momento della somministrazione</w:t>
      </w:r>
      <w:r w:rsidR="006E495D">
        <w:rPr>
          <w:rFonts w:asciiTheme="minorHAnsi" w:hAnsiTheme="minorHAnsi"/>
          <w:b/>
          <w:color w:val="262626" w:themeColor="text1" w:themeTint="D9"/>
          <w:sz w:val="24"/>
          <w:szCs w:val="24"/>
        </w:rPr>
        <w:t xml:space="preserve"> del vaccino presso le sedi IOV</w:t>
      </w:r>
      <w:r w:rsidRPr="006E495D">
        <w:rPr>
          <w:rFonts w:asciiTheme="minorHAnsi" w:hAnsiTheme="minorHAnsi"/>
          <w:b/>
          <w:color w:val="262626" w:themeColor="text1" w:themeTint="D9"/>
          <w:sz w:val="24"/>
          <w:szCs w:val="24"/>
        </w:rPr>
        <w:t>.</w:t>
      </w:r>
    </w:p>
    <w:p w14:paraId="0A9B4AAE" w14:textId="028CB97A" w:rsidR="006E495D" w:rsidRPr="006E495D" w:rsidRDefault="006E495D" w:rsidP="006E495D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6BB41CA3" w14:textId="77BB9692" w:rsidR="006E495D" w:rsidRPr="006E495D" w:rsidRDefault="006E495D" w:rsidP="006E495D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39AC7F94" w14:textId="77777777" w:rsidR="006E495D" w:rsidRPr="006E495D" w:rsidRDefault="006E495D" w:rsidP="006E495D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6E495D">
        <w:rPr>
          <w:rFonts w:asciiTheme="minorHAnsi" w:hAnsiTheme="minorHAnsi"/>
          <w:bCs/>
          <w:color w:val="262626" w:themeColor="text1" w:themeTint="D9"/>
          <w:sz w:val="24"/>
          <w:szCs w:val="24"/>
        </w:rPr>
        <w:t>Ufficio Stampa IOV</w:t>
      </w:r>
    </w:p>
    <w:p w14:paraId="728C4B75" w14:textId="29A7261C" w:rsidR="006E495D" w:rsidRPr="006E495D" w:rsidRDefault="006E495D" w:rsidP="006E495D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6E495D">
        <w:rPr>
          <w:rFonts w:asciiTheme="minorHAnsi" w:hAnsiTheme="minorHAnsi"/>
          <w:bCs/>
          <w:color w:val="262626" w:themeColor="text1" w:themeTint="D9"/>
          <w:sz w:val="24"/>
          <w:szCs w:val="24"/>
        </w:rPr>
        <w:t>Elisa Fais 340 3006180</w:t>
      </w:r>
    </w:p>
    <w:sectPr w:rsidR="006E495D" w:rsidRPr="006E495D">
      <w:headerReference w:type="default" r:id="rId8"/>
      <w:footerReference w:type="default" r:id="rId9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1478" w14:textId="77777777" w:rsidR="00B54A5B" w:rsidRDefault="00B54A5B">
      <w:pPr>
        <w:spacing w:after="0" w:line="240" w:lineRule="auto"/>
      </w:pPr>
      <w:r>
        <w:separator/>
      </w:r>
    </w:p>
  </w:endnote>
  <w:endnote w:type="continuationSeparator" w:id="0">
    <w:p w14:paraId="25204ED6" w14:textId="77777777" w:rsidR="00B54A5B" w:rsidRDefault="00B5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4AE3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25A0D942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26BB76F2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00CEDDB6" w14:textId="77777777" w:rsidR="004531CE" w:rsidRDefault="00AE6196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153AE653" wp14:editId="0FA2B022">
              <wp:simplePos x="0" y="0"/>
              <wp:positionH relativeFrom="column">
                <wp:posOffset>635000</wp:posOffset>
              </wp:positionH>
              <wp:positionV relativeFrom="paragraph">
                <wp:posOffset>139700</wp:posOffset>
              </wp:positionV>
              <wp:extent cx="4796155" cy="444500"/>
              <wp:effectExtent l="0" t="0" r="0" b="0"/>
              <wp:wrapNone/>
              <wp:docPr id="11" name="Rettangolo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5560" cy="44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58D9AF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IOV  I.R.C.C.S.  Ospedale Busonera, Via Gattamelata 64 - 35128 Padova</w:t>
                          </w:r>
                        </w:p>
                        <w:p w14:paraId="58A3F9F2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C.F./P.I.  04074560287  PEC: protocollo.iov@pecveneto.it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3AE653" id="Rettangolo 333" o:spid="_x0000_s1029" style="position:absolute;margin-left:50pt;margin-top:11pt;width:377.65pt;height:3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" stroked="f">
              <v:textbox>
                <w:txbxContent>
                  <w:p w14:paraId="5158D9AF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IOV  I.R.C.C.S.  Ospedale Busonera, Via Gattamelata 64 - 35128 Padova</w:t>
                    </w:r>
                  </w:p>
                  <w:p w14:paraId="58A3F9F2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C.F./P.I.  04074560287  PEC: protocollo.iov@pecveneto.it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D62E9" w14:textId="77777777" w:rsidR="00B54A5B" w:rsidRDefault="00B54A5B">
      <w:pPr>
        <w:spacing w:after="0" w:line="240" w:lineRule="auto"/>
      </w:pPr>
      <w:r>
        <w:separator/>
      </w:r>
    </w:p>
  </w:footnote>
  <w:footnote w:type="continuationSeparator" w:id="0">
    <w:p w14:paraId="29597807" w14:textId="77777777" w:rsidR="00B54A5B" w:rsidRDefault="00B5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0E38" w14:textId="77777777" w:rsidR="004531CE" w:rsidRDefault="00AE6196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3" behindDoc="1" locked="0" layoutInCell="1" allowOverlap="1" wp14:anchorId="7070588F" wp14:editId="21025F73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8940" cy="1096010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8400" cy="109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4BC1BE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48549B78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70DD37C3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71B126A1" w14:textId="77777777" w:rsidR="004531CE" w:rsidRDefault="004531CE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3423D2D1" w14:textId="77777777" w:rsidR="004531CE" w:rsidRDefault="004531CE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70588F" id="Rettangolo 332" o:spid="_x0000_s1026" style="position:absolute;margin-left:139pt;margin-top:.05pt;width:232.2pt;height:86.3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" stroked="f">
              <v:textbox>
                <w:txbxContent>
                  <w:p w14:paraId="6F4BC1BE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14:paraId="48549B78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14:paraId="70DD37C3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14:paraId="71B126A1" w14:textId="77777777" w:rsidR="004531CE" w:rsidRDefault="004531CE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14:paraId="3423D2D1" w14:textId="77777777" w:rsidR="004531CE" w:rsidRDefault="004531CE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5" behindDoc="1" locked="0" layoutInCell="1" allowOverlap="1" wp14:anchorId="73147373" wp14:editId="729DF737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90955" cy="1611630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240" cy="161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03A365" w14:textId="77777777" w:rsidR="004531CE" w:rsidRDefault="00AE6196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12E51F" wp14:editId="31EC8F95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A00B85" w14:textId="77777777" w:rsidR="004531CE" w:rsidRDefault="004531CE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147373" id="Casella di testo 330" o:spid="_x0000_s1027" style="position:absolute;margin-left:-9.35pt;margin-top:-4.05pt;width:101.65pt;height:126.9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" stroked="f" strokeweight=".26mm">
              <v:textbox>
                <w:txbxContent>
                  <w:p w14:paraId="1A03A365" w14:textId="77777777" w:rsidR="004531CE" w:rsidRDefault="00AE6196">
                    <w:pPr>
                      <w:pStyle w:val="Contenutocornice"/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12E51F" wp14:editId="31EC8F95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A00B85" w14:textId="77777777" w:rsidR="004531CE" w:rsidRDefault="004531CE">
                    <w:pPr>
                      <w:pStyle w:val="Contenutocornice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7" behindDoc="1" locked="0" layoutInCell="1" allowOverlap="1" wp14:anchorId="3121DD50" wp14:editId="7B3401ED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4450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36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3F890B" w14:textId="77777777" w:rsidR="004531CE" w:rsidRDefault="00AE6196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B4D1F3E" wp14:editId="38B47EBE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121DD50" id="Casella di testo 331" o:spid="_x0000_s1028" style="position:absolute;margin-left:410.9pt;margin-top:-3.15pt;width:103.5pt;height:83.8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" stroked="f" strokeweight=".26mm">
              <v:textbox style="mso-fit-shape-to-text:t">
                <w:txbxContent>
                  <w:p w14:paraId="053F890B" w14:textId="77777777" w:rsidR="004531CE" w:rsidRDefault="00AE6196"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B4D1F3E" wp14:editId="38B47EBE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8CA3CCF" w14:textId="77777777" w:rsidR="004531CE" w:rsidRDefault="004531CE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44D3"/>
    <w:multiLevelType w:val="hybridMultilevel"/>
    <w:tmpl w:val="0C9AA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F6D"/>
    <w:multiLevelType w:val="hybridMultilevel"/>
    <w:tmpl w:val="4DEC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56F"/>
    <w:multiLevelType w:val="hybridMultilevel"/>
    <w:tmpl w:val="DE88A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240C"/>
    <w:multiLevelType w:val="hybridMultilevel"/>
    <w:tmpl w:val="DE88A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CE"/>
    <w:rsid w:val="00006ADB"/>
    <w:rsid w:val="00084B3B"/>
    <w:rsid w:val="00141B9E"/>
    <w:rsid w:val="001936CC"/>
    <w:rsid w:val="001C51E1"/>
    <w:rsid w:val="002832D0"/>
    <w:rsid w:val="002B6C7D"/>
    <w:rsid w:val="00391384"/>
    <w:rsid w:val="004531CE"/>
    <w:rsid w:val="00454852"/>
    <w:rsid w:val="0047495A"/>
    <w:rsid w:val="00491F75"/>
    <w:rsid w:val="00510823"/>
    <w:rsid w:val="005415B6"/>
    <w:rsid w:val="00593377"/>
    <w:rsid w:val="00594232"/>
    <w:rsid w:val="00613F53"/>
    <w:rsid w:val="00621123"/>
    <w:rsid w:val="006217D6"/>
    <w:rsid w:val="006E495D"/>
    <w:rsid w:val="007763D3"/>
    <w:rsid w:val="008C72F6"/>
    <w:rsid w:val="0091288F"/>
    <w:rsid w:val="0094583E"/>
    <w:rsid w:val="00A04BAA"/>
    <w:rsid w:val="00A643F7"/>
    <w:rsid w:val="00A767CD"/>
    <w:rsid w:val="00AE6196"/>
    <w:rsid w:val="00B54A5B"/>
    <w:rsid w:val="00B636E3"/>
    <w:rsid w:val="00BA1F95"/>
    <w:rsid w:val="00C87B1B"/>
    <w:rsid w:val="00CB1399"/>
    <w:rsid w:val="00D272A3"/>
    <w:rsid w:val="00D47228"/>
    <w:rsid w:val="00D74D94"/>
    <w:rsid w:val="00DE60AF"/>
    <w:rsid w:val="00E41905"/>
    <w:rsid w:val="00EC48A8"/>
    <w:rsid w:val="00F07F80"/>
    <w:rsid w:val="00F27A95"/>
    <w:rsid w:val="00F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6BC7"/>
  <w15:docId w15:val="{79438625-2757-4D2E-B150-6CAD5728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D4B"/>
    <w:pPr>
      <w:spacing w:after="200" w:line="276" w:lineRule="auto"/>
    </w:pPr>
    <w:rPr>
      <w:sz w:val="22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Elisa Fais</cp:lastModifiedBy>
  <cp:revision>2</cp:revision>
  <cp:lastPrinted>2021-03-05T11:42:00Z</cp:lastPrinted>
  <dcterms:created xsi:type="dcterms:W3CDTF">2021-03-28T14:02:00Z</dcterms:created>
  <dcterms:modified xsi:type="dcterms:W3CDTF">2021-03-28T14:02:00Z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