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849" w:rsidRDefault="00595849">
      <w:pPr>
        <w:tabs>
          <w:tab w:val="left" w:pos="524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95849" w:rsidRDefault="007B00A3">
      <w:pPr>
        <w:tabs>
          <w:tab w:val="left" w:pos="5245"/>
        </w:tabs>
        <w:spacing w:after="24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COMUNICATO STAMPA</w:t>
      </w:r>
    </w:p>
    <w:p w:rsidR="00595849" w:rsidRDefault="007B00A3">
      <w:pPr>
        <w:tabs>
          <w:tab w:val="left" w:pos="5245"/>
        </w:tabs>
        <w:spacing w:before="240" w:after="24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95849" w:rsidRDefault="007B00A3">
      <w:pPr>
        <w:tabs>
          <w:tab w:val="left" w:pos="5245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BOLLINI ROSA: PER LA SETTIMA VOLTA</w:t>
      </w:r>
    </w:p>
    <w:p w:rsidR="00595849" w:rsidRDefault="007B00A3">
      <w:pPr>
        <w:tabs>
          <w:tab w:val="left" w:pos="5245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L'ISTITUTO ONCOLOGICO VENETO FA "TRIS"</w:t>
      </w:r>
    </w:p>
    <w:p w:rsidR="00595849" w:rsidRDefault="007B00A3">
      <w:pPr>
        <w:tabs>
          <w:tab w:val="left" w:pos="5245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E SI CONFERMA SALDAMENTE AL FIANCO DELLE DONNE</w:t>
      </w:r>
    </w:p>
    <w:p w:rsidR="00595849" w:rsidRDefault="007B00A3">
      <w:pPr>
        <w:tabs>
          <w:tab w:val="left" w:pos="5245"/>
        </w:tabs>
        <w:spacing w:before="240" w:after="240"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95849" w:rsidRDefault="007B00A3">
      <w:pPr>
        <w:tabs>
          <w:tab w:val="left" w:pos="5245"/>
        </w:tabs>
        <w:spacing w:before="240" w:after="24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Padova, 2 dicembre 2021. Ancora una volta l'Istituto Oncologico Veneto - IRCCS fa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l'en plein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riconoscimenti per l’attenzione riservata alla salute delle donne: sono tre i "Bollini rosa" (il numero massimo) assegnati per la settima volta consecutiva allo IOV dalla Fondazione Onda, l'Osservatorio nazionale sulla salute della donna e di genere 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ha valutato gli ospedali che offrono servizi dedicati alla prevenzione, diagnosi e cura delle principali patologie dell’universo femminile ma anche quelle che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riguardano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trasversalmente uomini e donne in un’ottica di genere.</w:t>
      </w:r>
    </w:p>
    <w:p w:rsidR="00595849" w:rsidRDefault="007B00A3">
      <w:pPr>
        <w:tabs>
          <w:tab w:val="left" w:pos="5245"/>
        </w:tabs>
        <w:spacing w:before="240" w:after="24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"Fin dalla sua nascita lo IOV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 è contraddistinto per una grande attenzione alle patologie femminili, non solo sul versante strettamente clinico ma con una presa in carico globale e complessiva, dal punto di vista fisico e psicologico, creando dei percorsi personalizzati, pensati su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misura attorno ad ogni singola paziente. Siamo pertanto molto felici e orgogliosi - commenta il Direttore Generale, Patrizia Benini – del pubblico riconoscimento che anche quest’anno ci ha assegnato l’Osservatorio Nazionale sulla Salute della Donna che ha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attestato, con la sua autorevolezza, come le iniziative da noi promosse nel campo della salute della donna siano rilevanti a livello nazionale. Si va così sviluppando e saldamente ancorando una rete di scambio di esperienze e di prassi virtuose, un canale </w:t>
      </w:r>
      <w:r>
        <w:rPr>
          <w:rFonts w:ascii="Times New Roman" w:eastAsia="Times New Roman" w:hAnsi="Times New Roman" w:cs="Times New Roman"/>
          <w:sz w:val="24"/>
          <w:szCs w:val="24"/>
        </w:rPr>
        <w:t>di divulgazione scientifica per promuovere l’aggiornamento dei medici e degli operatori sanitari e, per la popolazione, l’opportunità di poter scegliere il luogo di cura più idoneo alle proprie necessità, nonché di fruire di servizi gratuiti in occasione d</w:t>
      </w:r>
      <w:r>
        <w:rPr>
          <w:rFonts w:ascii="Times New Roman" w:eastAsia="Times New Roman" w:hAnsi="Times New Roman" w:cs="Times New Roman"/>
          <w:sz w:val="24"/>
          <w:szCs w:val="24"/>
        </w:rPr>
        <w:t>i giornate dedicate a specifiche patologie, con l’obiettivo di sensibilizzare e avvicinare a diagnosi e cure appropriate. Vogliamo condividere questo successo con tutti i nostri operatori che l’hanno reso possibile, lavorando affinché la popolazione femmin</w:t>
      </w:r>
      <w:r>
        <w:rPr>
          <w:rFonts w:ascii="Times New Roman" w:eastAsia="Times New Roman" w:hAnsi="Times New Roman" w:cs="Times New Roman"/>
          <w:sz w:val="24"/>
          <w:szCs w:val="24"/>
        </w:rPr>
        <w:t>ile possa accedere a percorsi diagnostico-terapeutici sempre più appropriati, efficienti ed efficaci”.</w:t>
      </w:r>
    </w:p>
    <w:p w:rsidR="00595849" w:rsidRDefault="007B00A3">
      <w:pPr>
        <w:tabs>
          <w:tab w:val="left" w:pos="5245"/>
        </w:tabs>
        <w:spacing w:before="240" w:after="24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“La 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edizione dei Bollini Rosa, che ha visto la partecipazione di 363 ospedali italiani e il patrocinio di 27 enti e società scientifiche – afferma 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ancesca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Merzagora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Presidente Fondazione Onda - rinnova il nostro impegno nella promozione di un approccio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gender-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oriented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all’interno delle strutture ospedaliere, riconoscendo l’importanza della sua promozione attraverso servizi e percorsi a misura di don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na, in tutte le aree specialistiche. Qualità e appropriatezza delle prestazioni erogate dal Servizio Sanitario Nazionale, elementi indispensabili per assicurare uniformità di accesso alle prestazioni, sono evidenziate dagli ospedali con i Bollini Rosa che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vengono valutati e premiati mettendo in luce percorsi inerenti sia alle specialità con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maggior impatto epidemiologico nell’ambito della salute femminile, sia a quelle che trattano patologie che normalmente colpiscono entrambi i generi”.</w:t>
      </w:r>
    </w:p>
    <w:p w:rsidR="00595849" w:rsidRDefault="007B00A3">
      <w:pPr>
        <w:tabs>
          <w:tab w:val="left" w:pos="5245"/>
        </w:tabs>
        <w:spacing w:before="240" w:after="24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valutazione dell</w:t>
      </w:r>
      <w:r>
        <w:rPr>
          <w:rFonts w:ascii="Times New Roman" w:eastAsia="Times New Roman" w:hAnsi="Times New Roman" w:cs="Times New Roman"/>
          <w:sz w:val="24"/>
          <w:szCs w:val="24"/>
        </w:rPr>
        <w:t>e strutture ospedaliere e l’assegnazione dei Bollini Rosa per il biennio 2022-2023 è avvenuta tramite un questionario di candidatura composto da oltre 400 domande, ciascuna con un valore prestabilito, suddivise in 15 aree specialistiche più una sezione ded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icata alla gestione dei casi di violenza sulle donne e sugli operatori sanitari. Un apposito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Advisory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Board, presieduto da Walter Ricciardi, professore di Igiene e Sanità Pubblica all’Università Cattolica del Sacro Cuore di Roma, ha validato i bollini cons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eguiti dagli ospedali (zero, uno, due o tre) a seguito del calcolo del punteggio totale, tenendo in considerazione anche gli elementi qualitativi di particolare rilevanza non valutati tramite il questionario (servizi 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percorsi  speciali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iniziative e prog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etti particolari, ecc..). Tre i criteri di valutazione tenuti in considerazione, la presenza di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specialità cliniche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che trattano problematiche di salute tipicamente femminili e trasversali ai due generi che necessitano di percorsi differenziati, tipologia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appropriatezza di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percorsi diagnostico-terapeutici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servizi clinico-assistenziali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ottica multidisciplinare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gender-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oriented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l’offerta di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servizi relativi all’accoglienza delle utenti alla degenza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della donna a supporto dei percorsi diagnostico-terape</w:t>
      </w:r>
      <w:r>
        <w:rPr>
          <w:rFonts w:ascii="Times New Roman" w:eastAsia="Times New Roman" w:hAnsi="Times New Roman" w:cs="Times New Roman"/>
          <w:sz w:val="24"/>
          <w:szCs w:val="24"/>
        </w:rPr>
        <w:t>utici (volontari, mediazione culturale e assistenza sociale) e infine il livello di preparazione dell’ospedale per la gestione di vittime di violenza fisica e verbale.</w:t>
      </w:r>
    </w:p>
    <w:p w:rsidR="00595849" w:rsidRDefault="007B00A3">
      <w:pPr>
        <w:tabs>
          <w:tab w:val="left" w:pos="5245"/>
        </w:tabs>
        <w:spacing w:before="240" w:after="24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partire dal 10 gennaio 2022 sul sito</w:t>
      </w:r>
      <w:hyperlink r:id="rId7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www.bollinirosa.it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sarà possibile consultare le schede degli ospedali premiati, suddivisi per regione, con l’elenco dei servizi valutati.</w:t>
      </w:r>
    </w:p>
    <w:p w:rsidR="00595849" w:rsidRDefault="00595849">
      <w:pPr>
        <w:tabs>
          <w:tab w:val="left" w:pos="5245"/>
        </w:tabs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5849" w:rsidRDefault="007B00A3">
      <w:pPr>
        <w:tabs>
          <w:tab w:val="left" w:pos="5245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595849" w:rsidRDefault="007B00A3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</w:t>
      </w:r>
    </w:p>
    <w:p w:rsidR="00595849" w:rsidRDefault="007B00A3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gdinkzwzqvim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Ufficio stampa IOV - IRCCS</w:t>
      </w:r>
    </w:p>
    <w:p w:rsidR="00595849" w:rsidRDefault="007B00A3">
      <w:pPr>
        <w:spacing w:after="0" w:line="259" w:lineRule="auto"/>
        <w:jc w:val="both"/>
        <w:rPr>
          <w:b/>
          <w:sz w:val="28"/>
          <w:szCs w:val="28"/>
        </w:rPr>
      </w:pPr>
      <w:bookmarkStart w:id="2" w:name="_heading=h.olerzsm5zqvr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>338.5866778</w:t>
      </w:r>
    </w:p>
    <w:sectPr w:rsidR="00595849">
      <w:headerReference w:type="default" r:id="rId9"/>
      <w:footerReference w:type="default" r:id="rId10"/>
      <w:pgSz w:w="11906" w:h="16838"/>
      <w:pgMar w:top="3090" w:right="851" w:bottom="1134" w:left="851" w:header="709" w:footer="8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0A3" w:rsidRDefault="007B00A3">
      <w:pPr>
        <w:spacing w:after="0" w:line="240" w:lineRule="auto"/>
      </w:pPr>
      <w:r>
        <w:separator/>
      </w:r>
    </w:p>
  </w:endnote>
  <w:endnote w:type="continuationSeparator" w:id="0">
    <w:p w:rsidR="007B00A3" w:rsidRDefault="007B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849" w:rsidRDefault="00595849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:rsidR="00595849" w:rsidRDefault="00595849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:rsidR="00595849" w:rsidRDefault="00595849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:rsidR="00595849" w:rsidRDefault="007B00A3">
    <w:pPr>
      <w:spacing w:after="0" w:line="240" w:lineRule="auto"/>
    </w:pP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column">
                <wp:posOffset>622300</wp:posOffset>
              </wp:positionH>
              <wp:positionV relativeFrom="paragraph">
                <wp:posOffset>127000</wp:posOffset>
              </wp:positionV>
              <wp:extent cx="4805680" cy="454025"/>
              <wp:effectExtent l="0" t="0" r="0" b="0"/>
              <wp:wrapNone/>
              <wp:docPr id="15" name="Rettango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48220" y="3558060"/>
                        <a:ext cx="4795560" cy="44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595849" w:rsidRDefault="007B00A3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IOV  I.R.C.C.S.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 Ospedale Busonera, Via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Gattamelata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64 - 35128 Padova</w:t>
                          </w:r>
                        </w:p>
                        <w:p w:rsidR="00595849" w:rsidRDefault="007B00A3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C.F./P.I. 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04074560287  PEC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: protocollo.iov@pecveneto.it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622300</wp:posOffset>
              </wp:positionH>
              <wp:positionV relativeFrom="paragraph">
                <wp:posOffset>127000</wp:posOffset>
              </wp:positionV>
              <wp:extent cx="4805680" cy="454025"/>
              <wp:effectExtent b="0" l="0" r="0" t="0"/>
              <wp:wrapNone/>
              <wp:docPr id="1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5680" cy="454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0A3" w:rsidRDefault="007B00A3">
      <w:pPr>
        <w:spacing w:after="0" w:line="240" w:lineRule="auto"/>
      </w:pPr>
      <w:r>
        <w:separator/>
      </w:r>
    </w:p>
  </w:footnote>
  <w:footnote w:type="continuationSeparator" w:id="0">
    <w:p w:rsidR="007B00A3" w:rsidRDefault="007B0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849" w:rsidRDefault="007B00A3">
    <w:pP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1752600</wp:posOffset>
              </wp:positionH>
              <wp:positionV relativeFrom="paragraph">
                <wp:posOffset>0</wp:posOffset>
              </wp:positionV>
              <wp:extent cx="2958465" cy="1105535"/>
              <wp:effectExtent l="0" t="0" r="0" b="0"/>
              <wp:wrapNone/>
              <wp:docPr id="14" name="Rettango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71800" y="3232260"/>
                        <a:ext cx="2948400" cy="109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595849" w:rsidRDefault="007B00A3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</w:rPr>
                            <w:t>Regione del Veneto</w:t>
                          </w:r>
                        </w:p>
                        <w:p w:rsidR="00595849" w:rsidRDefault="007B00A3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</w:rPr>
                            <w:t>Istituto Oncologico Veneto</w:t>
                          </w:r>
                        </w:p>
                        <w:p w:rsidR="00595849" w:rsidRDefault="007B00A3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Istituto di Ricovero e Cura a Carattere Scientifico</w:t>
                          </w:r>
                        </w:p>
                        <w:p w:rsidR="00595849" w:rsidRDefault="007B00A3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Ufficio Stampa</w:t>
                          </w:r>
                        </w:p>
                        <w:p w:rsidR="00595849" w:rsidRDefault="00595849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  <w:p w:rsidR="00595849" w:rsidRDefault="00595849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1752600</wp:posOffset>
              </wp:positionH>
              <wp:positionV relativeFrom="paragraph">
                <wp:posOffset>0</wp:posOffset>
              </wp:positionV>
              <wp:extent cx="2958465" cy="1105535"/>
              <wp:effectExtent b="0" l="0" r="0" t="0"/>
              <wp:wrapNone/>
              <wp:docPr id="1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8465" cy="11055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-118744</wp:posOffset>
              </wp:positionH>
              <wp:positionV relativeFrom="paragraph">
                <wp:posOffset>-51434</wp:posOffset>
              </wp:positionV>
              <wp:extent cx="1290955" cy="1611630"/>
              <wp:effectExtent l="0" t="0" r="0" b="0"/>
              <wp:wrapNone/>
              <wp:docPr id="12" name="Rettango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0240" cy="161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531CE" w:rsidRDefault="007B00A3">
                          <w:pPr>
                            <w:pStyle w:val="Contenutocornice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35025" cy="887095"/>
                                <wp:effectExtent l="0" t="0" r="0" b="0"/>
                                <wp:docPr id="5" name="Pictur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5025" cy="8870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531CE" w:rsidRDefault="007B00A3">
                          <w:pPr>
                            <w:pStyle w:val="Contenutocornice"/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-118744</wp:posOffset>
              </wp:positionH>
              <wp:positionV relativeFrom="paragraph">
                <wp:posOffset>-51434</wp:posOffset>
              </wp:positionV>
              <wp:extent cx="1290955" cy="1611630"/>
              <wp:effectExtent b="0" l="0" r="0" t="0"/>
              <wp:wrapNone/>
              <wp:docPr id="1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0955" cy="16116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column">
                <wp:posOffset>5218430</wp:posOffset>
              </wp:positionH>
              <wp:positionV relativeFrom="paragraph">
                <wp:posOffset>-40004</wp:posOffset>
              </wp:positionV>
              <wp:extent cx="1314450" cy="1064260"/>
              <wp:effectExtent l="0" t="0" r="0" b="0"/>
              <wp:wrapNone/>
              <wp:docPr id="13" name="Rettango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3640" cy="1063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531CE" w:rsidRDefault="007B00A3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133475" cy="882015"/>
                                <wp:effectExtent l="0" t="0" r="0" b="0"/>
                                <wp:docPr id="9" name="Immagine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magine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3475" cy="8820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5218430</wp:posOffset>
              </wp:positionH>
              <wp:positionV relativeFrom="paragraph">
                <wp:posOffset>-40004</wp:posOffset>
              </wp:positionV>
              <wp:extent cx="1314450" cy="1064260"/>
              <wp:effectExtent b="0" l="0" r="0" t="0"/>
              <wp:wrapNone/>
              <wp:docPr id="1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7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4450" cy="1064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595849" w:rsidRDefault="00595849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49"/>
    <w:rsid w:val="00255B13"/>
    <w:rsid w:val="00595849"/>
    <w:rsid w:val="007B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1AF79-483C-4DED-BE61-AF022EB1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0D4B"/>
  </w:style>
  <w:style w:type="paragraph" w:styleId="Titolo1">
    <w:name w:val="heading 1"/>
    <w:basedOn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D745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D745A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D745A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C795B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qFormat/>
    <w:rsid w:val="00E86FE9"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AC795B"/>
    <w:rPr>
      <w:color w:val="605E5C"/>
      <w:shd w:val="clear" w:color="auto" w:fill="E1DFDD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D74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5r3b.mailrouter.it/nl/pm5r3b/q0mce0/yyt7dk/uf/6/aHR0cDovL3d3dy5ib2xsaW5pcm9zYS5pdA?_d=6AP&amp;_c=167d28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5r3b.mailrouter.it/nl/pm5r3b/q0mce0/yyt7dk/uf/6/aHR0cDovL3d3dy5ib2xsaW5pcm9zYS5pdA?_d=6AP&amp;_c=167d282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2.wmf"/><Relationship Id="rId5" Type="http://schemas.openxmlformats.org/officeDocument/2006/relationships/image" Target="media/image3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8I2iIxLIZg7YxJFPZv16uwPiZg==">AMUW2mVTzMVkNxsHl9fD/fOnQxCnMQ0p3noIIsFjptqwHbFKbFAz7WdJSbA/PxOBQOh2Ke8SI3buV4sE8cmUpb7L//pFmyxUobpjGcv/WMd34qQiO/ilBQabDtjYJVTF4oaQQbo4l0GFH+bQIHSPLivtGuICnJMUOw==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Cioffredi</dc:creator>
  <cp:lastModifiedBy>utente</cp:lastModifiedBy>
  <cp:revision>2</cp:revision>
  <dcterms:created xsi:type="dcterms:W3CDTF">2021-12-02T10:17:00Z</dcterms:created>
  <dcterms:modified xsi:type="dcterms:W3CDTF">2021-12-02T10:17:00Z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Istituto Oncologico Veneto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