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4"/>
        </w:rPr>
      </w:pPr>
    </w:p>
    <w:p>
      <w:pPr>
        <w:spacing w:before="88"/>
        <w:ind w:left="3475" w:right="3470" w:firstLine="0"/>
        <w:jc w:val="center"/>
        <w:rPr>
          <w:b/>
          <w:sz w:val="30"/>
        </w:rPr>
      </w:pPr>
      <w:r>
        <w:rPr>
          <w:b/>
          <w:spacing w:val="-3"/>
          <w:sz w:val="30"/>
          <w:u w:val="thick"/>
        </w:rPr>
        <w:t>COMUNICATO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3"/>
        <w:rPr>
          <w:b/>
          <w:sz w:val="33"/>
        </w:rPr>
      </w:pPr>
    </w:p>
    <w:p>
      <w:pPr>
        <w:pStyle w:val="Title"/>
        <w:spacing w:line="321" w:lineRule="auto"/>
      </w:pPr>
      <w:r>
        <w:rPr>
          <w:spacing w:val="-1"/>
        </w:rPr>
        <w:t>E’</w:t>
      </w:r>
      <w:r>
        <w:rPr>
          <w:spacing w:val="-26"/>
        </w:rPr>
        <w:t> </w:t>
      </w:r>
      <w:r>
        <w:rPr>
          <w:spacing w:val="-1"/>
        </w:rPr>
        <w:t>DELLO IOV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19"/>
        </w:rPr>
        <w:t> </w:t>
      </w:r>
      <w:r>
        <w:rPr>
          <w:spacing w:val="-1"/>
        </w:rPr>
        <w:t>PIU’</w:t>
      </w:r>
      <w:r>
        <w:rPr>
          <w:spacing w:val="-45"/>
        </w:rPr>
        <w:t> </w:t>
      </w:r>
      <w:r>
        <w:rPr>
          <w:spacing w:val="-1"/>
        </w:rPr>
        <w:t>AMPIA</w:t>
      </w:r>
      <w:r>
        <w:rPr>
          <w:spacing w:val="-19"/>
        </w:rPr>
        <w:t> </w:t>
      </w:r>
      <w:r>
        <w:rPr>
          <w:spacing w:val="-1"/>
        </w:rPr>
        <w:t>CASISTICA</w:t>
      </w:r>
      <w:r>
        <w:rPr>
          <w:spacing w:val="-19"/>
        </w:rPr>
        <w:t> </w:t>
      </w:r>
      <w:r>
        <w:rPr/>
        <w:t>MONDIALE</w:t>
      </w:r>
      <w:r>
        <w:rPr>
          <w:spacing w:val="-82"/>
        </w:rPr>
        <w:t> </w:t>
      </w:r>
      <w:r>
        <w:rPr/>
        <w:t>DI PAZIENTI ONCOLOGICI IN TRATTAMENTO</w:t>
      </w:r>
      <w:r>
        <w:rPr>
          <w:spacing w:val="1"/>
        </w:rPr>
        <w:t> </w:t>
      </w:r>
      <w:r>
        <w:rPr>
          <w:spacing w:val="-3"/>
        </w:rPr>
        <w:t>SOTTOPOSTI</w:t>
      </w:r>
      <w:r>
        <w:rPr>
          <w:spacing w:val="-19"/>
        </w:rPr>
        <w:t> </w:t>
      </w:r>
      <w:r>
        <w:rPr>
          <w:spacing w:val="-2"/>
        </w:rPr>
        <w:t>A</w:t>
      </w:r>
      <w:r>
        <w:rPr>
          <w:spacing w:val="-26"/>
        </w:rPr>
        <w:t> </w:t>
      </w:r>
      <w:r>
        <w:rPr>
          <w:spacing w:val="-2"/>
        </w:rPr>
        <w:t>VACCINAZIONE</w:t>
      </w:r>
      <w:r>
        <w:rPr>
          <w:spacing w:val="-19"/>
        </w:rPr>
        <w:t> </w:t>
      </w:r>
      <w:r>
        <w:rPr>
          <w:spacing w:val="-2"/>
        </w:rPr>
        <w:t>ANTI-COVID19</w:t>
      </w:r>
    </w:p>
    <w:p>
      <w:pPr>
        <w:pStyle w:val="BodyText"/>
        <w:spacing w:before="10"/>
        <w:rPr>
          <w:b/>
          <w:sz w:val="54"/>
        </w:rPr>
      </w:pPr>
    </w:p>
    <w:p>
      <w:pPr>
        <w:pStyle w:val="BodyText"/>
        <w:spacing w:line="326" w:lineRule="auto"/>
        <w:ind w:left="110" w:right="103"/>
        <w:jc w:val="both"/>
      </w:pPr>
      <w:r>
        <w:rPr/>
        <w:t>Padova, 19 febbraio 2022. E’ dell’Istituto Oncologico Veneto la più ampia casistica mondiale di pazienti</w:t>
      </w:r>
      <w:r>
        <w:rPr>
          <w:spacing w:val="1"/>
        </w:rPr>
        <w:t> </w:t>
      </w:r>
      <w:r>
        <w:rPr/>
        <w:t>oncologici in trattamento sottoposti a vaccinazione anti-Covid-19, oggetto di studio e pubblicazione, un</w:t>
      </w:r>
      <w:r>
        <w:rPr>
          <w:spacing w:val="1"/>
        </w:rPr>
        <w:t> </w:t>
      </w:r>
      <w:r>
        <w:rPr/>
        <w:t>risultato</w:t>
      </w:r>
      <w:r>
        <w:rPr>
          <w:spacing w:val="1"/>
        </w:rPr>
        <w:t> </w:t>
      </w:r>
      <w:r>
        <w:rPr/>
        <w:t>certamente</w:t>
      </w:r>
      <w:r>
        <w:rPr>
          <w:spacing w:val="1"/>
        </w:rPr>
        <w:t> </w:t>
      </w:r>
      <w:r>
        <w:rPr/>
        <w:t>frutto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consapevolezza</w:t>
      </w:r>
      <w:r>
        <w:rPr>
          <w:spacing w:val="1"/>
        </w:rPr>
        <w:t> </w:t>
      </w:r>
      <w:r>
        <w:rPr/>
        <w:t>individuale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fiducia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dell'alleanza</w:t>
      </w:r>
      <w:r>
        <w:rPr>
          <w:spacing w:val="1"/>
        </w:rPr>
        <w:t> </w:t>
      </w:r>
      <w:r>
        <w:rPr/>
        <w:t>terapeutica con gli oncologi di riferimento. Ad attestarlo è lo studio pubblicato sulla rivista “Oncologist”,</w:t>
      </w:r>
      <w:r>
        <w:rPr>
          <w:spacing w:val="1"/>
        </w:rPr>
        <w:t> </w:t>
      </w:r>
      <w:r>
        <w:rPr/>
        <w:t>dal titolo “Safety of Covid-19 Vaccine in Patients with Cancer in a High-Volume Comprehensive Cancer</w:t>
      </w:r>
      <w:r>
        <w:rPr>
          <w:spacing w:val="1"/>
        </w:rPr>
        <w:t> </w:t>
      </w:r>
      <w:r>
        <w:rPr/>
        <w:t>Center”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autori</w:t>
      </w:r>
      <w:r>
        <w:rPr>
          <w:spacing w:val="1"/>
        </w:rPr>
        <w:t> </w:t>
      </w:r>
      <w:r>
        <w:rPr/>
        <w:t>Antonella</w:t>
      </w:r>
      <w:r>
        <w:rPr>
          <w:spacing w:val="1"/>
        </w:rPr>
        <w:t> </w:t>
      </w:r>
      <w:r>
        <w:rPr/>
        <w:t>Brunello,</w:t>
      </w:r>
      <w:r>
        <w:rPr>
          <w:spacing w:val="1"/>
        </w:rPr>
        <w:t> </w:t>
      </w:r>
      <w:r>
        <w:rPr/>
        <w:t>Valentina</w:t>
      </w:r>
      <w:r>
        <w:rPr>
          <w:spacing w:val="1"/>
        </w:rPr>
        <w:t> </w:t>
      </w:r>
      <w:r>
        <w:rPr/>
        <w:t>Guarneri,</w:t>
      </w:r>
      <w:r>
        <w:rPr>
          <w:spacing w:val="1"/>
        </w:rPr>
        <w:t> </w:t>
      </w:r>
      <w:r>
        <w:rPr/>
        <w:t>Marina</w:t>
      </w:r>
      <w:r>
        <w:rPr>
          <w:spacing w:val="1"/>
        </w:rPr>
        <w:t> </w:t>
      </w:r>
      <w:r>
        <w:rPr/>
        <w:t>Coppola,</w:t>
      </w:r>
      <w:r>
        <w:rPr>
          <w:spacing w:val="1"/>
        </w:rPr>
        <w:t> </w:t>
      </w:r>
      <w:r>
        <w:rPr/>
        <w:t>Matteo</w:t>
      </w:r>
      <w:r>
        <w:rPr>
          <w:spacing w:val="1"/>
        </w:rPr>
        <w:t> </w:t>
      </w:r>
      <w:r>
        <w:rPr/>
        <w:t>Bernardi,</w:t>
      </w:r>
      <w:r>
        <w:rPr>
          <w:spacing w:val="60"/>
        </w:rPr>
        <w:t> </w:t>
      </w:r>
      <w:r>
        <w:rPr/>
        <w:t>Ketti</w:t>
      </w:r>
      <w:r>
        <w:rPr>
          <w:spacing w:val="1"/>
        </w:rPr>
        <w:t> </w:t>
      </w:r>
      <w:r>
        <w:rPr/>
        <w:t>Ottolitri,</w:t>
      </w:r>
      <w:r>
        <w:rPr>
          <w:spacing w:val="1"/>
        </w:rPr>
        <w:t> </w:t>
      </w:r>
      <w:r>
        <w:rPr/>
        <w:t>Maria</w:t>
      </w:r>
      <w:r>
        <w:rPr>
          <w:spacing w:val="1"/>
        </w:rPr>
        <w:t> </w:t>
      </w:r>
      <w:r>
        <w:rPr/>
        <w:t>Grazia</w:t>
      </w:r>
      <w:r>
        <w:rPr>
          <w:spacing w:val="1"/>
        </w:rPr>
        <w:t> </w:t>
      </w:r>
      <w:r>
        <w:rPr/>
        <w:t>Ghi,</w:t>
      </w:r>
      <w:r>
        <w:rPr>
          <w:spacing w:val="1"/>
        </w:rPr>
        <w:t> </w:t>
      </w:r>
      <w:r>
        <w:rPr/>
        <w:t>Eleonora</w:t>
      </w:r>
      <w:r>
        <w:rPr>
          <w:spacing w:val="1"/>
        </w:rPr>
        <w:t> </w:t>
      </w:r>
      <w:r>
        <w:rPr/>
        <w:t>Mioranza,</w:t>
      </w:r>
      <w:r>
        <w:rPr>
          <w:spacing w:val="1"/>
        </w:rPr>
        <w:t> </w:t>
      </w:r>
      <w:r>
        <w:rPr/>
        <w:t>Federica</w:t>
      </w:r>
      <w:r>
        <w:rPr>
          <w:spacing w:val="1"/>
        </w:rPr>
        <w:t> </w:t>
      </w:r>
      <w:r>
        <w:rPr/>
        <w:t>Vianello,</w:t>
      </w:r>
      <w:r>
        <w:rPr>
          <w:spacing w:val="1"/>
        </w:rPr>
        <w:t> </w:t>
      </w:r>
      <w:r>
        <w:rPr/>
        <w:t>Michele</w:t>
      </w:r>
      <w:r>
        <w:rPr>
          <w:spacing w:val="1"/>
        </w:rPr>
        <w:t> </w:t>
      </w:r>
      <w:r>
        <w:rPr/>
        <w:t>Gottardi, Sara Lonardi,</w:t>
      </w:r>
      <w:r>
        <w:rPr>
          <w:spacing w:val="1"/>
        </w:rPr>
        <w:t> </w:t>
      </w:r>
      <w:r>
        <w:rPr/>
        <w:t>Vittorina Zagonel - che riporta i dati di sicurezza della prima coorte di pazienti oncologici (5.297) che</w:t>
      </w:r>
      <w:r>
        <w:rPr>
          <w:spacing w:val="1"/>
        </w:rPr>
        <w:t> </w:t>
      </w:r>
      <w:r>
        <w:rPr/>
        <w:t>hanno</w:t>
      </w:r>
      <w:r>
        <w:rPr>
          <w:spacing w:val="12"/>
        </w:rPr>
        <w:t> </w:t>
      </w:r>
      <w:r>
        <w:rPr/>
        <w:t>ricevuto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vaccinazione</w:t>
      </w:r>
      <w:r>
        <w:rPr>
          <w:spacing w:val="-2"/>
        </w:rPr>
        <w:t> </w:t>
      </w:r>
      <w:r>
        <w:rPr/>
        <w:t>anti-Covid19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vaccino</w:t>
      </w:r>
      <w:r>
        <w:rPr>
          <w:spacing w:val="-2"/>
        </w:rPr>
        <w:t> </w:t>
      </w:r>
      <w:r>
        <w:rPr/>
        <w:t>Pfizer-</w:t>
      </w:r>
      <w:r>
        <w:rPr>
          <w:spacing w:val="-2"/>
        </w:rPr>
        <w:t> </w:t>
      </w:r>
      <w:r>
        <w:rPr/>
        <w:t>BioNTech</w:t>
      </w:r>
      <w:r>
        <w:rPr>
          <w:spacing w:val="-3"/>
        </w:rPr>
        <w:t> </w:t>
      </w:r>
      <w:r>
        <w:rPr/>
        <w:t>presso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IOV</w:t>
      </w:r>
      <w:r>
        <w:rPr>
          <w:spacing w:val="-2"/>
        </w:rPr>
        <w:t> </w:t>
      </w:r>
      <w:r>
        <w:rPr/>
        <w:t>tra</w:t>
      </w:r>
      <w:r>
        <w:rPr>
          <w:spacing w:val="-3"/>
        </w:rPr>
        <w:t> </w:t>
      </w:r>
      <w:r>
        <w:rPr/>
        <w:t>il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marzo</w:t>
      </w:r>
      <w:r>
        <w:rPr>
          <w:spacing w:val="-2"/>
        </w:rPr>
        <w:t> </w:t>
      </w:r>
      <w:r>
        <w:rPr/>
        <w:t>e</w:t>
      </w:r>
      <w:r>
        <w:rPr>
          <w:spacing w:val="-58"/>
        </w:rPr>
        <w:t> </w:t>
      </w:r>
      <w:r>
        <w:rPr/>
        <w:t>il 9 maggio 2021.</w:t>
      </w:r>
    </w:p>
    <w:p>
      <w:pPr>
        <w:pStyle w:val="BodyText"/>
        <w:spacing w:line="326" w:lineRule="auto" w:before="162"/>
        <w:ind w:left="110" w:right="104"/>
        <w:jc w:val="both"/>
      </w:pPr>
      <w:r>
        <w:rPr/>
        <w:t>“Si</w:t>
      </w:r>
      <w:r>
        <w:rPr>
          <w:spacing w:val="1"/>
        </w:rPr>
        <w:t> </w:t>
      </w:r>
      <w:r>
        <w:rPr/>
        <w:t>tratta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ampia</w:t>
      </w:r>
      <w:r>
        <w:rPr>
          <w:spacing w:val="1"/>
        </w:rPr>
        <w:t> </w:t>
      </w:r>
      <w:r>
        <w:rPr/>
        <w:t>casistica</w:t>
      </w:r>
      <w:r>
        <w:rPr>
          <w:spacing w:val="1"/>
        </w:rPr>
        <w:t> </w:t>
      </w:r>
      <w:r>
        <w:rPr/>
        <w:t>mondiale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pazienti</w:t>
      </w:r>
      <w:r>
        <w:rPr>
          <w:spacing w:val="1"/>
        </w:rPr>
        <w:t> </w:t>
      </w:r>
      <w:r>
        <w:rPr/>
        <w:t>oncologici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sottoposti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vaccinazione,</w:t>
      </w:r>
      <w:r>
        <w:rPr>
          <w:spacing w:val="1"/>
        </w:rPr>
        <w:t> </w:t>
      </w:r>
      <w:r>
        <w:rPr/>
        <w:t>oggetto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pubblicazione.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pazienti</w:t>
      </w:r>
      <w:r>
        <w:rPr>
          <w:spacing w:val="1"/>
        </w:rPr>
        <w:t> </w:t>
      </w:r>
      <w:r>
        <w:rPr/>
        <w:t>vaccinati</w:t>
      </w:r>
      <w:r>
        <w:rPr>
          <w:spacing w:val="1"/>
        </w:rPr>
        <w:t> </w:t>
      </w:r>
      <w:r>
        <w:rPr/>
        <w:t>affetti</w:t>
      </w:r>
      <w:r>
        <w:rPr>
          <w:spacing w:val="60"/>
        </w:rPr>
        <w:t> </w:t>
      </w:r>
      <w:r>
        <w:rPr/>
        <w:t>da tumore solido erano la maggior</w:t>
      </w:r>
      <w:r>
        <w:rPr>
          <w:spacing w:val="-57"/>
        </w:rPr>
        <w:t> </w:t>
      </w:r>
      <w:r>
        <w:rPr/>
        <w:t>parte (87%), con una prevalenza inferiore di pazienti affetti da neoplasia oncoematologica (13%). La</w:t>
      </w:r>
      <w:r>
        <w:rPr>
          <w:spacing w:val="1"/>
        </w:rPr>
        <w:t> </w:t>
      </w:r>
      <w:r>
        <w:rPr/>
        <w:t>vaccinazione - evidenzia la dottoressa Antonella Brunello dell’UOC Oncologia 1 (diretta dalla dottoressa</w:t>
      </w:r>
      <w:r>
        <w:rPr>
          <w:spacing w:val="1"/>
        </w:rPr>
        <w:t> </w:t>
      </w:r>
      <w:r>
        <w:rPr/>
        <w:t>Vittorina</w:t>
      </w:r>
      <w:r>
        <w:rPr>
          <w:spacing w:val="57"/>
        </w:rPr>
        <w:t> </w:t>
      </w:r>
      <w:r>
        <w:rPr/>
        <w:t>Zagonel),</w:t>
      </w:r>
      <w:r>
        <w:rPr>
          <w:spacing w:val="58"/>
        </w:rPr>
        <w:t> </w:t>
      </w:r>
      <w:r>
        <w:rPr/>
        <w:t>prima</w:t>
      </w:r>
      <w:r>
        <w:rPr>
          <w:spacing w:val="58"/>
        </w:rPr>
        <w:t> </w:t>
      </w:r>
      <w:r>
        <w:rPr/>
        <w:t>firmataria</w:t>
      </w:r>
      <w:r>
        <w:rPr>
          <w:spacing w:val="58"/>
        </w:rPr>
        <w:t> </w:t>
      </w:r>
      <w:r>
        <w:rPr/>
        <w:t>dello</w:t>
      </w:r>
      <w:r>
        <w:rPr>
          <w:spacing w:val="58"/>
        </w:rPr>
        <w:t> </w:t>
      </w:r>
      <w:r>
        <w:rPr/>
        <w:t>studio</w:t>
      </w:r>
      <w:r>
        <w:rPr>
          <w:spacing w:val="58"/>
        </w:rPr>
        <w:t> </w:t>
      </w:r>
      <w:r>
        <w:rPr/>
        <w:t>-</w:t>
      </w:r>
      <w:r>
        <w:rPr>
          <w:spacing w:val="58"/>
        </w:rPr>
        <w:t> </w:t>
      </w:r>
      <w:r>
        <w:rPr/>
        <w:t>è</w:t>
      </w:r>
      <w:r>
        <w:rPr>
          <w:spacing w:val="58"/>
        </w:rPr>
        <w:t> </w:t>
      </w:r>
      <w:r>
        <w:rPr/>
        <w:t>stata</w:t>
      </w:r>
      <w:r>
        <w:rPr>
          <w:spacing w:val="58"/>
        </w:rPr>
        <w:t> </w:t>
      </w:r>
      <w:r>
        <w:rPr/>
        <w:t>proposta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tutti</w:t>
      </w:r>
      <w:r>
        <w:rPr>
          <w:spacing w:val="58"/>
        </w:rPr>
        <w:t> </w:t>
      </w:r>
      <w:r>
        <w:rPr/>
        <w:t>i</w:t>
      </w:r>
      <w:r>
        <w:rPr>
          <w:spacing w:val="58"/>
        </w:rPr>
        <w:t> </w:t>
      </w:r>
      <w:r>
        <w:rPr/>
        <w:t>pazienti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trattamento</w:t>
      </w:r>
      <w:r>
        <w:rPr>
          <w:spacing w:val="-58"/>
        </w:rPr>
        <w:t> </w:t>
      </w:r>
      <w:r>
        <w:rPr/>
        <w:t>oncologico attivo o nei quali la terapia era stata conclusa negli ultimi 6 mesi. Solo il 3.9% ha rifiutato il</w:t>
      </w:r>
      <w:r>
        <w:rPr>
          <w:spacing w:val="1"/>
        </w:rPr>
        <w:t> </w:t>
      </w:r>
      <w:r>
        <w:rPr/>
        <w:t>vaccino.</w:t>
      </w:r>
      <w:r>
        <w:rPr>
          <w:spacing w:val="1"/>
        </w:rPr>
        <w:t> </w:t>
      </w:r>
      <w:r>
        <w:rPr/>
        <w:t>Questa</w:t>
      </w:r>
      <w:r>
        <w:rPr>
          <w:spacing w:val="1"/>
        </w:rPr>
        <w:t> </w:t>
      </w:r>
      <w:r>
        <w:rPr/>
        <w:t>percentuale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lunga</w:t>
      </w:r>
      <w:r>
        <w:rPr>
          <w:spacing w:val="1"/>
        </w:rPr>
        <w:t> </w:t>
      </w:r>
      <w:r>
        <w:rPr/>
        <w:t>inferiore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tassi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rifiuto</w:t>
      </w:r>
      <w:r>
        <w:rPr>
          <w:spacing w:val="1"/>
        </w:rPr>
        <w:t> </w:t>
      </w:r>
      <w:r>
        <w:rPr/>
        <w:t>segnalati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letteratura,</w:t>
      </w:r>
      <w:r>
        <w:rPr>
          <w:spacing w:val="1"/>
        </w:rPr>
        <w:t> </w:t>
      </w:r>
      <w:r>
        <w:rPr/>
        <w:t>probabilmente legato al rapporto di fiducia e all’alleanza terapeutica con l’équipe degli oncologi che</w:t>
      </w:r>
      <w:r>
        <w:rPr>
          <w:spacing w:val="1"/>
        </w:rPr>
        <w:t> </w:t>
      </w:r>
      <w:r>
        <w:rPr/>
        <w:t>hanno personalmente proposto la vaccinazione agli assistiti”.</w:t>
      </w:r>
    </w:p>
    <w:p>
      <w:pPr>
        <w:pStyle w:val="BodyText"/>
        <w:spacing w:line="300" w:lineRule="auto" w:before="162"/>
        <w:ind w:left="110" w:right="108"/>
        <w:jc w:val="both"/>
      </w:pPr>
      <w:r>
        <w:rPr/>
        <w:t>“La</w:t>
      </w:r>
      <w:r>
        <w:rPr>
          <w:spacing w:val="1"/>
        </w:rPr>
        <w:t> </w:t>
      </w:r>
      <w:r>
        <w:rPr/>
        <w:t>maggior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pazienti</w:t>
      </w:r>
      <w:r>
        <w:rPr>
          <w:spacing w:val="1"/>
        </w:rPr>
        <w:t> </w:t>
      </w:r>
      <w:r>
        <w:rPr/>
        <w:t>(81.6%)</w:t>
      </w:r>
      <w:r>
        <w:rPr>
          <w:spacing w:val="1"/>
        </w:rPr>
        <w:t> </w:t>
      </w:r>
      <w:r>
        <w:rPr/>
        <w:t>erano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oncologico</w:t>
      </w:r>
      <w:r>
        <w:rPr>
          <w:spacing w:val="1"/>
        </w:rPr>
        <w:t> </w:t>
      </w:r>
      <w:r>
        <w:rPr/>
        <w:t>attivo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vaccinazione</w:t>
      </w:r>
      <w:r>
        <w:rPr>
          <w:spacing w:val="-1"/>
        </w:rPr>
        <w:t> </w:t>
      </w:r>
      <w:r>
        <w:rPr/>
        <w:t>(di cui chemioterapia 38.6%, terapia</w:t>
      </w:r>
      <w:r>
        <w:rPr>
          <w:spacing w:val="-1"/>
        </w:rPr>
        <w:t> </w:t>
      </w:r>
      <w:r>
        <w:rPr/>
        <w:t>targeted 21.6%, immunoterapia 7.9%, terapia</w:t>
      </w:r>
    </w:p>
    <w:p>
      <w:pPr>
        <w:spacing w:after="0" w:line="300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4" w:top="3160" w:bottom="800" w:left="740" w:right="7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00" w:lineRule="auto" w:before="90"/>
        <w:ind w:left="110" w:right="111"/>
        <w:jc w:val="both"/>
      </w:pPr>
      <w:r>
        <w:rPr/>
        <w:t>endocrina da sola o in associazione a terapia targeted 22.6%, altre combinazioni di trattamenti 9.3%).</w:t>
      </w:r>
      <w:r>
        <w:rPr>
          <w:spacing w:val="1"/>
        </w:rPr>
        <w:t> </w:t>
      </w:r>
      <w:r>
        <w:rPr/>
        <w:t>Tramite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sito di farmacovigilanza </w:t>
      </w:r>
      <w:hyperlink r:id="rId7">
        <w:r>
          <w:rPr>
            <w:color w:val="1154CC"/>
            <w:u w:val="thick" w:color="1154CC"/>
          </w:rPr>
          <w:t>www.vigicovid.it</w:t>
        </w:r>
      </w:hyperlink>
      <w:r>
        <w:rPr/>
        <w:t>, è stato possibile verificare - prosegue la dt.ssa</w:t>
      </w:r>
      <w:r>
        <w:rPr>
          <w:spacing w:val="1"/>
        </w:rPr>
        <w:t> </w:t>
      </w:r>
      <w:r>
        <w:rPr/>
        <w:t>Brunello - 8 reazioni avverse segnalate, delle quali una è stata ritenuta di grado severo, non letale ma non</w:t>
      </w:r>
      <w:r>
        <w:rPr>
          <w:spacing w:val="1"/>
        </w:rPr>
        <w:t> </w:t>
      </w:r>
      <w:r>
        <w:rPr/>
        <w:t>di chiara attribuzione, potenzialmente ascrivibile anche alla malattia oncologica di base. Le reazioni non</w:t>
      </w:r>
      <w:r>
        <w:rPr>
          <w:spacing w:val="1"/>
        </w:rPr>
        <w:t> </w:t>
      </w:r>
      <w:r>
        <w:rPr/>
        <w:t>severe (dolori muscolo-scheletrici, febbre, prurito, rash cutaneo, cefalea, ipotensione/ipertensione) si sono</w:t>
      </w:r>
      <w:r>
        <w:rPr>
          <w:spacing w:val="-57"/>
        </w:rPr>
        <w:t> </w:t>
      </w:r>
      <w:r>
        <w:rPr/>
        <w:t>risolte entro 48 ore. Le reazioni avverse segnalate sono insorte tutte entro breve periodo temporale dalla</w:t>
      </w:r>
      <w:r>
        <w:rPr>
          <w:spacing w:val="1"/>
        </w:rPr>
        <w:t> </w:t>
      </w:r>
      <w:r>
        <w:rPr/>
        <w:t>vaccinazione,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oltre i 14 giorni dalla vaccinazione stessa. Solamente 4 pazienti hanno presentato</w:t>
      </w:r>
      <w:r>
        <w:rPr>
          <w:spacing w:val="1"/>
        </w:rPr>
        <w:t> </w:t>
      </w:r>
      <w:r>
        <w:rPr/>
        <w:t>sintomi di reazione da ipersensibilità al momento della vaccinazione, che si sono risolti spontaneamente o</w:t>
      </w:r>
      <w:r>
        <w:rPr>
          <w:spacing w:val="-57"/>
        </w:rPr>
        <w:t> </w:t>
      </w:r>
      <w:r>
        <w:rPr/>
        <w:t>con l’utilizzo di anti-istaminico, entro breve tempo e senza reliquati”.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300" w:lineRule="auto"/>
        <w:ind w:left="110" w:right="106"/>
        <w:jc w:val="both"/>
      </w:pPr>
      <w:r>
        <w:rPr/>
        <w:t>“Questi risultati - commenta il direttore generale dello IOV - IRCCS, Patrizia Benini - contribuiscono a</w:t>
      </w:r>
      <w:r>
        <w:rPr>
          <w:spacing w:val="1"/>
        </w:rPr>
        <w:t> </w:t>
      </w:r>
      <w:r>
        <w:rPr/>
        <w:t>rafforzare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implementare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conoscenze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fattibilità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vaccinazione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pazienti</w:t>
      </w:r>
      <w:r>
        <w:rPr>
          <w:spacing w:val="1"/>
        </w:rPr>
        <w:t> </w:t>
      </w:r>
      <w:r>
        <w:rPr/>
        <w:t>oncologici e</w:t>
      </w:r>
      <w:r>
        <w:rPr>
          <w:spacing w:val="-57"/>
        </w:rPr>
        <w:t> </w:t>
      </w:r>
      <w:r>
        <w:rPr/>
        <w:t>oncoematologici in trattamento chemioterapico, evidenziando l’importanza dell'alleanza curante-paziente,</w:t>
      </w:r>
      <w:r>
        <w:rPr>
          <w:spacing w:val="-57"/>
        </w:rPr>
        <w:t> </w:t>
      </w:r>
      <w:r>
        <w:rPr/>
        <w:t>supportata da una significativa organizzazione delle attività che, anche scegliendo la finestra temporale</w:t>
      </w:r>
      <w:r>
        <w:rPr>
          <w:spacing w:val="1"/>
        </w:rPr>
        <w:t> </w:t>
      </w:r>
      <w:r>
        <w:rPr/>
        <w:t>migliore per la vaccinazione, ha permesso di garantire sia la copertura vaccinale che la continuità delle</w:t>
      </w:r>
      <w:r>
        <w:rPr>
          <w:spacing w:val="1"/>
        </w:rPr>
        <w:t> </w:t>
      </w:r>
      <w:r>
        <w:rPr/>
        <w:t>cure antitumorali”.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42.549999pt;margin-top:16.051264pt;width:163.85pt;height:.1pt;mso-position-horizontal-relative:page;mso-position-vertical-relative:paragraph;z-index:-15728640;mso-wrap-distance-left:0;mso-wrap-distance-right:0" coordorigin="851,321" coordsize="3277,0" path="m851,321l4128,32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5"/>
        <w:rPr>
          <w:sz w:val="18"/>
        </w:rPr>
      </w:pPr>
    </w:p>
    <w:p>
      <w:pPr>
        <w:spacing w:line="273" w:lineRule="auto" w:before="90"/>
        <w:ind w:left="110" w:right="7350" w:firstLine="0"/>
        <w:jc w:val="left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stampa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IOV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IRCCS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338.5866778</w:t>
      </w:r>
    </w:p>
    <w:sectPr>
      <w:pgSz w:w="11920" w:h="16840"/>
      <w:pgMar w:header="634" w:footer="614" w:top="3160" w:bottom="80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7120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5584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6096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6608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324" w:right="588" w:hanging="535"/>
    </w:pPr>
    <w:rPr>
      <w:rFonts w:ascii="Times New Roman" w:hAnsi="Times New Roman" w:eastAsia="Times New Roman" w:cs="Times New Roman"/>
      <w:b/>
      <w:bCs/>
      <w:sz w:val="34"/>
      <w:szCs w:val="3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vigicovid.it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2022-02-21T08:04:11Z</dcterms:created>
  <dcterms:modified xsi:type="dcterms:W3CDTF">2022-02-21T08:04:11Z</dcterms:modified>
</cp:coreProperties>
</file>