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22"/>
        <w:ind w:left="531" w:right="526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  <w:spacing w:line="343" w:lineRule="auto" w:before="222"/>
        <w:ind w:right="564"/>
      </w:pPr>
      <w:r>
        <w:rPr>
          <w:color w:val="212121"/>
          <w:spacing w:val="-2"/>
        </w:rPr>
        <w:t>L’ISTITUTO ONCOLOGICO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VENETO </w:t>
      </w:r>
      <w:r>
        <w:rPr>
          <w:color w:val="212121"/>
          <w:spacing w:val="-1"/>
        </w:rPr>
        <w:t>ESTENDE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A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DUE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UNITÀ</w:t>
      </w:r>
      <w:r>
        <w:rPr>
          <w:color w:val="212121"/>
          <w:spacing w:val="-77"/>
        </w:rPr>
        <w:t> </w:t>
      </w:r>
      <w:r>
        <w:rPr>
          <w:color w:val="212121"/>
          <w:spacing w:val="-2"/>
        </w:rPr>
        <w:t>OPERATIVE </w:t>
      </w:r>
      <w:r>
        <w:rPr>
          <w:color w:val="212121"/>
          <w:spacing w:val="-1"/>
        </w:rPr>
        <w:t>DELLA</w:t>
      </w:r>
      <w:r>
        <w:rPr>
          <w:color w:val="212121"/>
          <w:spacing w:val="-19"/>
        </w:rPr>
        <w:t> </w:t>
      </w:r>
      <w:r>
        <w:rPr>
          <w:color w:val="212121"/>
          <w:spacing w:val="-1"/>
        </w:rPr>
        <w:t>SEDE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DI</w:t>
      </w:r>
      <w:r>
        <w:rPr>
          <w:color w:val="212121"/>
          <w:spacing w:val="-2"/>
        </w:rPr>
        <w:t> </w:t>
      </w:r>
      <w:r>
        <w:rPr>
          <w:color w:val="212121"/>
          <w:spacing w:val="-1"/>
        </w:rPr>
        <w:t>CASTELFRANCO</w:t>
      </w:r>
      <w:r>
        <w:rPr>
          <w:color w:val="212121"/>
          <w:spacing w:val="-7"/>
        </w:rPr>
        <w:t> </w:t>
      </w:r>
      <w:r>
        <w:rPr>
          <w:color w:val="212121"/>
          <w:spacing w:val="-1"/>
        </w:rPr>
        <w:t>VENETO</w:t>
      </w:r>
    </w:p>
    <w:p>
      <w:pPr>
        <w:pStyle w:val="Title"/>
      </w:pPr>
      <w:r>
        <w:rPr>
          <w:color w:val="212121"/>
          <w:spacing w:val="-2"/>
        </w:rPr>
        <w:t>LA</w:t>
      </w:r>
      <w:r>
        <w:rPr>
          <w:color w:val="212121"/>
          <w:spacing w:val="-17"/>
        </w:rPr>
        <w:t> </w:t>
      </w:r>
      <w:r>
        <w:rPr>
          <w:color w:val="212121"/>
          <w:spacing w:val="-2"/>
        </w:rPr>
        <w:t>CERTIFICAZIONE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ISO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9001:2015</w:t>
      </w:r>
    </w:p>
    <w:p>
      <w:pPr>
        <w:pStyle w:val="BodyText"/>
        <w:rPr>
          <w:b/>
          <w:sz w:val="34"/>
        </w:rPr>
      </w:pPr>
    </w:p>
    <w:p>
      <w:pPr>
        <w:pStyle w:val="Heading1"/>
        <w:spacing w:line="213" w:lineRule="auto" w:before="269"/>
        <w:ind w:left="1147" w:right="1140" w:hanging="14"/>
      </w:pPr>
      <w:r>
        <w:rPr>
          <w:color w:val="212121"/>
          <w:spacing w:val="-1"/>
        </w:rPr>
        <w:t>Ottengono il riconoscimento </w:t>
      </w:r>
      <w:r>
        <w:rPr>
          <w:color w:val="212121"/>
        </w:rPr>
        <w:t>la UOC Anestesia e Rianimazione 2, diretta dal dr.</w:t>
      </w:r>
      <w:r>
        <w:rPr>
          <w:color w:val="212121"/>
          <w:spacing w:val="-57"/>
        </w:rPr>
        <w:t> </w:t>
      </w:r>
      <w:r>
        <w:rPr>
          <w:color w:val="212121"/>
        </w:rPr>
        <w:t>Massimo</w:t>
      </w:r>
      <w:r>
        <w:rPr>
          <w:color w:val="212121"/>
          <w:spacing w:val="-5"/>
        </w:rPr>
        <w:t> </w:t>
      </w:r>
      <w:r>
        <w:rPr>
          <w:color w:val="212121"/>
        </w:rPr>
        <w:t>Sergi,</w:t>
      </w:r>
      <w:r>
        <w:rPr>
          <w:color w:val="212121"/>
          <w:spacing w:val="-5"/>
        </w:rPr>
        <w:t> </w:t>
      </w:r>
      <w:r>
        <w:rPr>
          <w:color w:val="212121"/>
        </w:rPr>
        <w:t>e</w:t>
      </w:r>
      <w:r>
        <w:rPr>
          <w:color w:val="212121"/>
          <w:spacing w:val="-4"/>
        </w:rPr>
        <w:t> </w:t>
      </w:r>
      <w:r>
        <w:rPr>
          <w:color w:val="212121"/>
        </w:rPr>
        <w:t>la</w:t>
      </w:r>
      <w:r>
        <w:rPr>
          <w:color w:val="212121"/>
          <w:spacing w:val="-5"/>
        </w:rPr>
        <w:t> </w:t>
      </w:r>
      <w:r>
        <w:rPr>
          <w:color w:val="212121"/>
        </w:rPr>
        <w:t>UOC</w:t>
      </w:r>
      <w:r>
        <w:rPr>
          <w:color w:val="212121"/>
          <w:spacing w:val="-5"/>
        </w:rPr>
        <w:t> </w:t>
      </w:r>
      <w:r>
        <w:rPr>
          <w:color w:val="212121"/>
        </w:rPr>
        <w:t>Medicina</w:t>
      </w:r>
      <w:r>
        <w:rPr>
          <w:color w:val="212121"/>
          <w:spacing w:val="-4"/>
        </w:rPr>
        <w:t> </w:t>
      </w:r>
      <w:r>
        <w:rPr>
          <w:color w:val="212121"/>
        </w:rPr>
        <w:t>Nucleare,</w:t>
      </w:r>
      <w:r>
        <w:rPr>
          <w:color w:val="212121"/>
          <w:spacing w:val="-5"/>
        </w:rPr>
        <w:t> </w:t>
      </w:r>
      <w:r>
        <w:rPr>
          <w:color w:val="212121"/>
        </w:rPr>
        <w:t>diretta</w:t>
      </w:r>
      <w:r>
        <w:rPr>
          <w:color w:val="212121"/>
          <w:spacing w:val="-4"/>
        </w:rPr>
        <w:t> </w:t>
      </w:r>
      <w:r>
        <w:rPr>
          <w:color w:val="212121"/>
        </w:rPr>
        <w:t>dal</w:t>
      </w:r>
      <w:r>
        <w:rPr>
          <w:color w:val="212121"/>
          <w:spacing w:val="-5"/>
        </w:rPr>
        <w:t> </w:t>
      </w:r>
      <w:r>
        <w:rPr>
          <w:color w:val="212121"/>
        </w:rPr>
        <w:t>dr.</w:t>
      </w:r>
      <w:r>
        <w:rPr>
          <w:color w:val="212121"/>
          <w:spacing w:val="-5"/>
        </w:rPr>
        <w:t> </w:t>
      </w:r>
      <w:r>
        <w:rPr>
          <w:color w:val="212121"/>
        </w:rPr>
        <w:t>Michele</w:t>
      </w:r>
      <w:r>
        <w:rPr>
          <w:color w:val="212121"/>
          <w:spacing w:val="-4"/>
        </w:rPr>
        <w:t> </w:t>
      </w:r>
      <w:r>
        <w:rPr>
          <w:color w:val="212121"/>
        </w:rPr>
        <w:t>Gregianin.</w:t>
      </w:r>
    </w:p>
    <w:p>
      <w:pPr>
        <w:spacing w:line="234" w:lineRule="exact" w:before="0"/>
        <w:ind w:left="531" w:right="526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L’obiettivo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è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arrivare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nel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2025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alla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certificazione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dell’intero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ente.</w:t>
      </w:r>
    </w:p>
    <w:p>
      <w:pPr>
        <w:pStyle w:val="Heading1"/>
        <w:spacing w:line="260" w:lineRule="exact"/>
      </w:pP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DG</w:t>
      </w:r>
      <w:r>
        <w:rPr>
          <w:color w:val="212121"/>
          <w:spacing w:val="-2"/>
        </w:rPr>
        <w:t> </w:t>
      </w:r>
      <w:r>
        <w:rPr>
          <w:color w:val="212121"/>
        </w:rPr>
        <w:t>Benini:</w:t>
      </w:r>
      <w:r>
        <w:rPr>
          <w:color w:val="212121"/>
          <w:spacing w:val="-3"/>
        </w:rPr>
        <w:t> </w:t>
      </w:r>
      <w:r>
        <w:rPr>
          <w:color w:val="212121"/>
        </w:rPr>
        <w:t>«L’orientamento</w:t>
      </w:r>
      <w:r>
        <w:rPr>
          <w:color w:val="212121"/>
          <w:spacing w:val="-2"/>
        </w:rPr>
        <w:t> </w:t>
      </w:r>
      <w:r>
        <w:rPr>
          <w:color w:val="212121"/>
        </w:rPr>
        <w:t>al</w:t>
      </w:r>
      <w:r>
        <w:rPr>
          <w:color w:val="212121"/>
          <w:spacing w:val="-3"/>
        </w:rPr>
        <w:t> </w:t>
      </w:r>
      <w:r>
        <w:rPr>
          <w:color w:val="212121"/>
        </w:rPr>
        <w:t>miglioramento</w:t>
      </w:r>
      <w:r>
        <w:rPr>
          <w:color w:val="212121"/>
          <w:spacing w:val="-2"/>
        </w:rPr>
        <w:t> </w:t>
      </w:r>
      <w:r>
        <w:rPr>
          <w:color w:val="212121"/>
        </w:rPr>
        <w:t>continuo</w:t>
      </w:r>
      <w:r>
        <w:rPr>
          <w:color w:val="212121"/>
          <w:spacing w:val="-3"/>
        </w:rPr>
        <w:t> </w:t>
      </w:r>
      <w:r>
        <w:rPr>
          <w:color w:val="212121"/>
        </w:rPr>
        <w:t>è</w:t>
      </w:r>
      <w:r>
        <w:rPr>
          <w:color w:val="212121"/>
          <w:spacing w:val="-2"/>
        </w:rPr>
        <w:t> </w:t>
      </w:r>
      <w:r>
        <w:rPr>
          <w:color w:val="212121"/>
        </w:rPr>
        <w:t>nel</w:t>
      </w:r>
      <w:r>
        <w:rPr>
          <w:color w:val="212121"/>
          <w:spacing w:val="-3"/>
        </w:rPr>
        <w:t> </w:t>
      </w:r>
      <w:r>
        <w:rPr>
          <w:color w:val="212121"/>
        </w:rPr>
        <w:t>nostro</w:t>
      </w:r>
      <w:r>
        <w:rPr>
          <w:color w:val="212121"/>
          <w:spacing w:val="-2"/>
        </w:rPr>
        <w:t> </w:t>
      </w:r>
      <w:r>
        <w:rPr>
          <w:color w:val="212121"/>
        </w:rPr>
        <w:t>DNA».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13" w:lineRule="auto"/>
        <w:ind w:left="110" w:right="104"/>
        <w:jc w:val="both"/>
      </w:pPr>
      <w:r>
        <w:rPr>
          <w:color w:val="212121"/>
        </w:rPr>
        <w:t>Padova/Castelfranco</w:t>
      </w:r>
      <w:r>
        <w:rPr>
          <w:color w:val="212121"/>
          <w:spacing w:val="1"/>
        </w:rPr>
        <w:t> </w:t>
      </w:r>
      <w:r>
        <w:rPr>
          <w:color w:val="212121"/>
        </w:rPr>
        <w:t>Veneto,</w:t>
      </w:r>
      <w:r>
        <w:rPr>
          <w:color w:val="212121"/>
          <w:spacing w:val="1"/>
        </w:rPr>
        <w:t> </w:t>
      </w:r>
      <w:r>
        <w:rPr>
          <w:color w:val="212121"/>
        </w:rPr>
        <w:t>17 settembre 2022. Tra i numerosi accreditamenti di alto profilo di cui</w:t>
      </w:r>
      <w:r>
        <w:rPr>
          <w:color w:val="212121"/>
          <w:spacing w:val="1"/>
        </w:rPr>
        <w:t> </w:t>
      </w:r>
      <w:r>
        <w:rPr>
          <w:color w:val="212121"/>
        </w:rPr>
        <w:t>l’Istituto Oncologico Veneto – IRCCS può fregiarsi (“Comprehensive Cancer Centre” OECI, “Centro di</w:t>
      </w:r>
      <w:r>
        <w:rPr>
          <w:color w:val="212121"/>
          <w:spacing w:val="1"/>
        </w:rPr>
        <w:t> </w:t>
      </w:r>
      <w:r>
        <w:rPr>
          <w:color w:val="212121"/>
        </w:rPr>
        <w:t>integrazione tra le terapie oncologiche e le cure palliative” ESMO, “Centro esperto” per i tumori rari</w:t>
      </w:r>
      <w:r>
        <w:rPr>
          <w:color w:val="212121"/>
          <w:spacing w:val="1"/>
        </w:rPr>
        <w:t> </w:t>
      </w:r>
      <w:r>
        <w:rPr>
          <w:color w:val="212121"/>
        </w:rPr>
        <w:t>dell’adulto EURACAN), il rinnovo annuale, appena conseguito, della certificazione ISO 9001, posseduta</w:t>
      </w:r>
      <w:r>
        <w:rPr>
          <w:color w:val="212121"/>
          <w:spacing w:val="1"/>
        </w:rPr>
        <w:t> </w:t>
      </w:r>
      <w:r>
        <w:rPr>
          <w:color w:val="212121"/>
        </w:rPr>
        <w:t>sin dal 2004, potrebbe sembrare un risultato scontato. Al contrario, segna per l’ente l’inizio di un nuovo,</w:t>
      </w:r>
      <w:r>
        <w:rPr>
          <w:color w:val="212121"/>
          <w:spacing w:val="1"/>
        </w:rPr>
        <w:t> </w:t>
      </w:r>
      <w:r>
        <w:rPr>
          <w:color w:val="212121"/>
        </w:rPr>
        <w:t>sfidante, capitolo.</w:t>
      </w:r>
    </w:p>
    <w:p>
      <w:pPr>
        <w:pStyle w:val="BodyText"/>
        <w:spacing w:line="213" w:lineRule="auto" w:before="194"/>
        <w:ind w:left="110" w:right="107"/>
        <w:jc w:val="both"/>
      </w:pPr>
      <w:r>
        <w:rPr>
          <w:color w:val="212121"/>
        </w:rPr>
        <w:t>L’audit svoltosi il 27 e 28 luglio scorsi, infatti, ha previsto, accanto alla sorveglianza di alcune attività non</w:t>
      </w:r>
      <w:r>
        <w:rPr>
          <w:color w:val="212121"/>
          <w:spacing w:val="-57"/>
        </w:rPr>
        <w:t> </w:t>
      </w:r>
      <w:r>
        <w:rPr>
          <w:color w:val="212121"/>
        </w:rPr>
        <w:t>valutate nel biennio precedente, l’estensione della certificazione a prestazioni di diagnosi e cura erogate</w:t>
      </w:r>
      <w:r>
        <w:rPr>
          <w:color w:val="212121"/>
          <w:spacing w:val="1"/>
        </w:rPr>
        <w:t> </w:t>
      </w:r>
      <w:r>
        <w:rPr>
          <w:color w:val="212121"/>
        </w:rPr>
        <w:t>nella</w:t>
      </w:r>
      <w:r>
        <w:rPr>
          <w:color w:val="212121"/>
          <w:spacing w:val="1"/>
        </w:rPr>
        <w:t> </w:t>
      </w:r>
      <w:r>
        <w:rPr>
          <w:color w:val="212121"/>
        </w:rPr>
        <w:t>sede</w:t>
      </w:r>
      <w:r>
        <w:rPr>
          <w:color w:val="212121"/>
          <w:spacing w:val="1"/>
        </w:rPr>
        <w:t> </w:t>
      </w:r>
      <w:r>
        <w:rPr>
          <w:color w:val="212121"/>
        </w:rPr>
        <w:t>di Castelfranco Veneto (avviata a partire dal 2017), segnatamente dalla UOC Anestesia e</w:t>
      </w:r>
      <w:r>
        <w:rPr>
          <w:color w:val="212121"/>
          <w:spacing w:val="1"/>
        </w:rPr>
        <w:t> </w:t>
      </w:r>
      <w:r>
        <w:rPr>
          <w:color w:val="212121"/>
        </w:rPr>
        <w:t>Rianimazione</w:t>
      </w:r>
      <w:r>
        <w:rPr>
          <w:color w:val="212121"/>
          <w:spacing w:val="1"/>
        </w:rPr>
        <w:t> </w:t>
      </w:r>
      <w:r>
        <w:rPr>
          <w:color w:val="212121"/>
        </w:rPr>
        <w:t>2,</w:t>
      </w:r>
      <w:r>
        <w:rPr>
          <w:color w:val="212121"/>
          <w:spacing w:val="1"/>
        </w:rPr>
        <w:t> </w:t>
      </w:r>
      <w:r>
        <w:rPr>
          <w:color w:val="212121"/>
        </w:rPr>
        <w:t>diretta</w:t>
      </w:r>
      <w:r>
        <w:rPr>
          <w:color w:val="212121"/>
          <w:spacing w:val="1"/>
        </w:rPr>
        <w:t> </w:t>
      </w:r>
      <w:r>
        <w:rPr>
          <w:color w:val="212121"/>
        </w:rPr>
        <w:t>dal</w:t>
      </w:r>
      <w:r>
        <w:rPr>
          <w:color w:val="212121"/>
          <w:spacing w:val="1"/>
        </w:rPr>
        <w:t> </w:t>
      </w:r>
      <w:r>
        <w:rPr>
          <w:color w:val="212121"/>
        </w:rPr>
        <w:t>dott.</w:t>
      </w:r>
      <w:r>
        <w:rPr>
          <w:color w:val="212121"/>
          <w:spacing w:val="1"/>
        </w:rPr>
        <w:t> </w:t>
      </w:r>
      <w:r>
        <w:rPr>
          <w:color w:val="212121"/>
        </w:rPr>
        <w:t>Massimo</w:t>
      </w:r>
      <w:r>
        <w:rPr>
          <w:color w:val="212121"/>
          <w:spacing w:val="1"/>
        </w:rPr>
        <w:t> </w:t>
      </w:r>
      <w:r>
        <w:rPr>
          <w:color w:val="212121"/>
        </w:rPr>
        <w:t>Sergi,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dalla</w:t>
      </w:r>
      <w:r>
        <w:rPr>
          <w:color w:val="212121"/>
          <w:spacing w:val="1"/>
        </w:rPr>
        <w:t> </w:t>
      </w:r>
      <w:r>
        <w:rPr>
          <w:color w:val="212121"/>
        </w:rPr>
        <w:t>UOC</w:t>
      </w:r>
      <w:r>
        <w:rPr>
          <w:color w:val="212121"/>
          <w:spacing w:val="1"/>
        </w:rPr>
        <w:t> </w:t>
      </w:r>
      <w:r>
        <w:rPr>
          <w:color w:val="212121"/>
        </w:rPr>
        <w:t>Medicina</w:t>
      </w:r>
      <w:r>
        <w:rPr>
          <w:color w:val="212121"/>
          <w:spacing w:val="1"/>
        </w:rPr>
        <w:t> </w:t>
      </w:r>
      <w:r>
        <w:rPr>
          <w:color w:val="212121"/>
        </w:rPr>
        <w:t>Nucleare,</w:t>
      </w:r>
      <w:r>
        <w:rPr>
          <w:color w:val="212121"/>
          <w:spacing w:val="60"/>
        </w:rPr>
        <w:t> </w:t>
      </w:r>
      <w:r>
        <w:rPr>
          <w:color w:val="212121"/>
        </w:rPr>
        <w:t>diretta dal dott.</w:t>
      </w:r>
      <w:r>
        <w:rPr>
          <w:color w:val="212121"/>
          <w:spacing w:val="1"/>
        </w:rPr>
        <w:t> </w:t>
      </w:r>
      <w:r>
        <w:rPr>
          <w:color w:val="212121"/>
        </w:rPr>
        <w:t>Michele Gregianin. Si tratta delle prime due unità operative castellane dello IOV a venire certificate ISO</w:t>
      </w:r>
      <w:r>
        <w:rPr>
          <w:color w:val="212121"/>
          <w:spacing w:val="1"/>
        </w:rPr>
        <w:t> </w:t>
      </w:r>
      <w:r>
        <w:rPr>
          <w:color w:val="212121"/>
        </w:rPr>
        <w:t>9001, apri fila di un ambizioso percorso che si prefigge di portare allo stesso risultato, entro il 2025, tutte</w:t>
      </w:r>
      <w:r>
        <w:rPr>
          <w:color w:val="212121"/>
          <w:spacing w:val="1"/>
        </w:rPr>
        <w:t> </w:t>
      </w:r>
      <w:r>
        <w:rPr>
          <w:color w:val="212121"/>
        </w:rPr>
        <w:t>le unità attualmente presenti all’Ospedale San Giacomo. L’obiettivo è far sì che il campo di applicazione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certificazione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siano</w:t>
      </w:r>
      <w:r>
        <w:rPr>
          <w:color w:val="212121"/>
          <w:spacing w:val="1"/>
        </w:rPr>
        <w:t> </w:t>
      </w:r>
      <w:r>
        <w:rPr>
          <w:color w:val="212121"/>
        </w:rPr>
        <w:t>più specifiche sedi, unità operative o attività ma l’Istituto Oncologico</w:t>
      </w:r>
      <w:r>
        <w:rPr>
          <w:color w:val="212121"/>
          <w:spacing w:val="1"/>
        </w:rPr>
        <w:t> </w:t>
      </w:r>
      <w:r>
        <w:rPr>
          <w:color w:val="212121"/>
        </w:rPr>
        <w:t>Veneto</w:t>
      </w:r>
      <w:r>
        <w:rPr>
          <w:color w:val="212121"/>
          <w:spacing w:val="-1"/>
        </w:rPr>
        <w:t> </w:t>
      </w:r>
      <w:r>
        <w:rPr>
          <w:color w:val="212121"/>
        </w:rPr>
        <w:t>nel suo complesso.</w:t>
      </w:r>
    </w:p>
    <w:p>
      <w:pPr>
        <w:pStyle w:val="BodyText"/>
        <w:spacing w:line="213" w:lineRule="auto" w:before="191"/>
        <w:ind w:left="110" w:right="105"/>
        <w:jc w:val="both"/>
      </w:pPr>
      <w:r>
        <w:rPr>
          <w:color w:val="212121"/>
        </w:rPr>
        <w:t>«Lo IOV ha adottato un sistema integrato di gestione per la qualità certificato ISO – spiega il Direttore</w:t>
      </w:r>
      <w:r>
        <w:rPr>
          <w:color w:val="212121"/>
          <w:spacing w:val="1"/>
        </w:rPr>
        <w:t> </w:t>
      </w:r>
      <w:r>
        <w:rPr>
          <w:color w:val="212121"/>
        </w:rPr>
        <w:t>Generale Patrizia Benini – con lo scopo di orientare la propria azione al soddisfacimento degli utenti,</w:t>
      </w:r>
      <w:r>
        <w:rPr>
          <w:color w:val="212121"/>
          <w:spacing w:val="1"/>
        </w:rPr>
        <w:t> </w:t>
      </w:r>
      <w:r>
        <w:rPr>
          <w:color w:val="212121"/>
        </w:rPr>
        <w:t>rispondendo</w:t>
      </w:r>
      <w:r>
        <w:rPr>
          <w:color w:val="212121"/>
          <w:spacing w:val="1"/>
        </w:rPr>
        <w:t> </w:t>
      </w:r>
      <w:r>
        <w:rPr>
          <w:color w:val="212121"/>
        </w:rPr>
        <w:t>ai</w:t>
      </w:r>
      <w:r>
        <w:rPr>
          <w:color w:val="212121"/>
          <w:spacing w:val="1"/>
        </w:rPr>
        <w:t> </w:t>
      </w:r>
      <w:r>
        <w:rPr>
          <w:color w:val="212121"/>
        </w:rPr>
        <w:t>loro</w:t>
      </w:r>
      <w:r>
        <w:rPr>
          <w:color w:val="212121"/>
          <w:spacing w:val="1"/>
        </w:rPr>
        <w:t> </w:t>
      </w:r>
      <w:r>
        <w:rPr>
          <w:color w:val="212121"/>
        </w:rPr>
        <w:t>bisogni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salute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un’ottica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miglioramento</w:t>
      </w:r>
      <w:r>
        <w:rPr>
          <w:color w:val="212121"/>
          <w:spacing w:val="1"/>
        </w:rPr>
        <w:t> </w:t>
      </w:r>
      <w:r>
        <w:rPr>
          <w:color w:val="212121"/>
        </w:rPr>
        <w:t>continuo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processi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comportamenti degli operatori. Ora questo approccio, da sempre nel DNA dell’Istituto, inizia a essere</w:t>
      </w:r>
      <w:r>
        <w:rPr>
          <w:color w:val="212121"/>
          <w:spacing w:val="1"/>
        </w:rPr>
        <w:t> </w:t>
      </w:r>
      <w:r>
        <w:rPr>
          <w:color w:val="212121"/>
        </w:rPr>
        <w:t>formalizzato</w:t>
      </w:r>
      <w:r>
        <w:rPr>
          <w:color w:val="212121"/>
          <w:spacing w:val="1"/>
        </w:rPr>
        <w:t> </w:t>
      </w:r>
      <w:r>
        <w:rPr>
          <w:color w:val="212121"/>
        </w:rPr>
        <w:t>anche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sede di Castelfranco Veneto. Come di consueto, il momento dell’audit ha</w:t>
      </w:r>
      <w:r>
        <w:rPr>
          <w:color w:val="212121"/>
          <w:spacing w:val="1"/>
        </w:rPr>
        <w:t> </w:t>
      </w:r>
      <w:r>
        <w:rPr>
          <w:color w:val="212121"/>
        </w:rPr>
        <w:t>rappresentato</w:t>
      </w:r>
      <w:r>
        <w:rPr>
          <w:color w:val="212121"/>
          <w:spacing w:val="1"/>
        </w:rPr>
        <w:t> </w:t>
      </w:r>
      <w:r>
        <w:rPr>
          <w:color w:val="212121"/>
        </w:rPr>
        <w:t>un’importante</w:t>
      </w:r>
      <w:r>
        <w:rPr>
          <w:color w:val="212121"/>
          <w:spacing w:val="1"/>
        </w:rPr>
        <w:t> </w:t>
      </w:r>
      <w:r>
        <w:rPr>
          <w:color w:val="212121"/>
        </w:rPr>
        <w:t>occasione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crescita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consolidare</w:t>
      </w:r>
      <w:r>
        <w:rPr>
          <w:color w:val="212121"/>
          <w:spacing w:val="1"/>
        </w:rPr>
        <w:t> </w:t>
      </w:r>
      <w:r>
        <w:rPr>
          <w:color w:val="212121"/>
        </w:rPr>
        <w:t>gli</w:t>
      </w:r>
      <w:r>
        <w:rPr>
          <w:color w:val="212121"/>
          <w:spacing w:val="1"/>
        </w:rPr>
        <w:t> </w:t>
      </w:r>
      <w:r>
        <w:rPr>
          <w:color w:val="212121"/>
        </w:rPr>
        <w:t>strumenti</w:t>
      </w:r>
      <w:r>
        <w:rPr>
          <w:color w:val="212121"/>
          <w:spacing w:val="1"/>
        </w:rPr>
        <w:t> </w:t>
      </w:r>
      <w:r>
        <w:rPr>
          <w:color w:val="212121"/>
        </w:rPr>
        <w:t>aziendali</w:t>
      </w:r>
      <w:r>
        <w:rPr>
          <w:color w:val="212121"/>
          <w:spacing w:val="1"/>
        </w:rPr>
        <w:t> </w:t>
      </w:r>
      <w:r>
        <w:rPr>
          <w:color w:val="212121"/>
        </w:rPr>
        <w:t>adottati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costantemente monitorati e per esporre i progressi delle nostre corpose attività cliniche e di ricerca».</w:t>
      </w:r>
      <w:r>
        <w:rPr>
          <w:color w:val="212121"/>
          <w:spacing w:val="1"/>
        </w:rPr>
        <w:t> </w:t>
      </w:r>
      <w:r>
        <w:rPr>
          <w:color w:val="212121"/>
        </w:rPr>
        <w:t>Oggetto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verifica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1"/>
        </w:rPr>
        <w:t> </w:t>
      </w:r>
      <w:r>
        <w:rPr>
          <w:color w:val="212121"/>
        </w:rPr>
        <w:t>state,</w:t>
      </w:r>
      <w:r>
        <w:rPr>
          <w:color w:val="212121"/>
          <w:spacing w:val="1"/>
        </w:rPr>
        <w:t> </w:t>
      </w:r>
      <w:r>
        <w:rPr>
          <w:color w:val="212121"/>
        </w:rPr>
        <w:t>oltre</w:t>
      </w:r>
      <w:r>
        <w:rPr>
          <w:color w:val="212121"/>
          <w:spacing w:val="60"/>
        </w:rPr>
        <w:t> </w:t>
      </w:r>
      <w:r>
        <w:rPr>
          <w:color w:val="212121"/>
        </w:rPr>
        <w:t>alle due già citate, le seguenti unità operative: UOSD Unità</w:t>
      </w:r>
      <w:r>
        <w:rPr>
          <w:color w:val="212121"/>
          <w:spacing w:val="1"/>
        </w:rPr>
        <w:t> </w:t>
      </w:r>
      <w:r>
        <w:rPr>
          <w:color w:val="212121"/>
        </w:rPr>
        <w:t>Ricerca Clinica, UOC Immunologia e Diagnostica Molecolare Oncologica, UOC Radiologia Senologica,</w:t>
      </w:r>
      <w:r>
        <w:rPr>
          <w:color w:val="212121"/>
          <w:spacing w:val="1"/>
        </w:rPr>
        <w:t> </w:t>
      </w:r>
      <w:r>
        <w:rPr>
          <w:color w:val="212121"/>
        </w:rPr>
        <w:t>UOS</w:t>
      </w:r>
      <w:r>
        <w:rPr>
          <w:color w:val="212121"/>
          <w:spacing w:val="-1"/>
        </w:rPr>
        <w:t> </w:t>
      </w:r>
      <w:r>
        <w:rPr>
          <w:color w:val="212121"/>
        </w:rPr>
        <w:t>Radiologia, UOSD</w:t>
      </w:r>
      <w:r>
        <w:rPr>
          <w:color w:val="212121"/>
          <w:spacing w:val="-6"/>
        </w:rPr>
        <w:t> </w:t>
      </w:r>
      <w:r>
        <w:rPr>
          <w:color w:val="212121"/>
        </w:rPr>
        <w:t>Tumori Ereditari,</w:t>
      </w:r>
      <w:r>
        <w:rPr>
          <w:color w:val="212121"/>
          <w:spacing w:val="-1"/>
        </w:rPr>
        <w:t> </w:t>
      </w:r>
      <w:r>
        <w:rPr>
          <w:color w:val="212121"/>
        </w:rPr>
        <w:t>UOC Radioterapia</w:t>
      </w:r>
      <w:r>
        <w:rPr>
          <w:color w:val="212121"/>
          <w:spacing w:val="-1"/>
        </w:rPr>
        <w:t> </w:t>
      </w:r>
      <w:r>
        <w:rPr>
          <w:color w:val="212121"/>
        </w:rPr>
        <w:t>(Sede IOV</w:t>
      </w:r>
      <w:r>
        <w:rPr>
          <w:color w:val="212121"/>
          <w:spacing w:val="-6"/>
        </w:rPr>
        <w:t> </w:t>
      </w:r>
      <w:r>
        <w:rPr>
          <w:color w:val="212121"/>
        </w:rPr>
        <w:t>di Schiavonia).</w:t>
      </w:r>
      <w:r>
        <w:rPr>
          <w:color w:val="212121"/>
          <w:spacing w:val="-1"/>
        </w:rPr>
        <w:t> </w:t>
      </w:r>
      <w:r>
        <w:rPr>
          <w:color w:val="212121"/>
        </w:rPr>
        <w:t>Inoltre sono</w:t>
      </w:r>
    </w:p>
    <w:p>
      <w:pPr>
        <w:spacing w:after="0" w:line="21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3" w:top="3160" w:bottom="800" w:left="740" w:right="760"/>
          <w:pgNumType w:start="1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13" w:lineRule="auto" w:before="115"/>
        <w:ind w:left="110" w:right="114"/>
        <w:jc w:val="both"/>
      </w:pPr>
      <w:r>
        <w:rPr>
          <w:color w:val="212121"/>
        </w:rPr>
        <w:t>stati esaminati i seguenti servizi: Uff. Accreditamenti e Riconoscimento IRCCS, Risk Management, Uff.</w:t>
      </w:r>
      <w:r>
        <w:rPr>
          <w:color w:val="212121"/>
          <w:spacing w:val="1"/>
        </w:rPr>
        <w:t> </w:t>
      </w:r>
      <w:r>
        <w:rPr>
          <w:color w:val="212121"/>
        </w:rPr>
        <w:t>Relazioni con il Pubblico, Coordinamento Gruppo Oncologico Multidisciplinare della Prostata.</w:t>
      </w:r>
    </w:p>
    <w:p>
      <w:pPr>
        <w:pStyle w:val="BodyText"/>
        <w:spacing w:line="213" w:lineRule="auto" w:before="198"/>
        <w:ind w:left="110" w:right="105"/>
        <w:jc w:val="both"/>
      </w:pPr>
      <w:r>
        <w:rPr>
          <w:color w:val="212121"/>
        </w:rPr>
        <w:t>Gli auditor hanno valutato tutti gli aspetti capaci di influire sulla qualità dell’assistenza sanitaria per le</w:t>
      </w:r>
      <w:r>
        <w:rPr>
          <w:color w:val="212121"/>
          <w:spacing w:val="1"/>
        </w:rPr>
        <w:t> </w:t>
      </w:r>
      <w:r>
        <w:rPr>
          <w:color w:val="212121"/>
        </w:rPr>
        <w:t>patologie oncologiche che lo IOV offre a un numero sempre crescente di cittadini, provenienti da tutta</w:t>
      </w:r>
      <w:r>
        <w:rPr>
          <w:color w:val="212121"/>
          <w:spacing w:val="1"/>
        </w:rPr>
        <w:t> </w:t>
      </w:r>
      <w:r>
        <w:rPr>
          <w:color w:val="212121"/>
        </w:rPr>
        <w:t>Italia e anche dall’estero: il percorso del paziente dalla prenotazione alla consegna del referto; l’analisi dei</w:t>
      </w:r>
      <w:r>
        <w:rPr>
          <w:color w:val="212121"/>
          <w:spacing w:val="-57"/>
        </w:rPr>
        <w:t> </w:t>
      </w:r>
      <w:r>
        <w:rPr>
          <w:color w:val="212121"/>
        </w:rPr>
        <w:t>possibili rischi all’interno di tale percorso; la gestione di apparecchiature, farmaci e presidi, emergenze</w:t>
      </w:r>
      <w:r>
        <w:rPr>
          <w:color w:val="212121"/>
          <w:spacing w:val="1"/>
        </w:rPr>
        <w:t> </w:t>
      </w:r>
      <w:r>
        <w:rPr>
          <w:color w:val="212121"/>
        </w:rPr>
        <w:t>sanitarie e non conformità; l’addestramento e formazione del personale; la comunicazione e informazione</w:t>
      </w:r>
      <w:r>
        <w:rPr>
          <w:color w:val="212121"/>
          <w:spacing w:val="-57"/>
        </w:rPr>
        <w:t> </w:t>
      </w:r>
      <w:r>
        <w:rPr>
          <w:color w:val="212121"/>
        </w:rPr>
        <w:t>al paziente; i piani di evacuazione; pulizie, disinfezione e sterilizzazione; la gestione e archiviazione della</w:t>
      </w:r>
      <w:r>
        <w:rPr>
          <w:color w:val="212121"/>
          <w:spacing w:val="-57"/>
        </w:rPr>
        <w:t> </w:t>
      </w:r>
      <w:r>
        <w:rPr>
          <w:color w:val="212121"/>
        </w:rPr>
        <w:t>documentazione relativa al sistema di gestione per la qualità. Soprattutto per le due unità operative di</w:t>
      </w:r>
      <w:r>
        <w:rPr>
          <w:color w:val="212121"/>
          <w:spacing w:val="1"/>
        </w:rPr>
        <w:t> </w:t>
      </w:r>
      <w:r>
        <w:rPr>
          <w:color w:val="212121"/>
        </w:rPr>
        <w:t>nuova</w:t>
      </w:r>
      <w:r>
        <w:rPr>
          <w:color w:val="212121"/>
          <w:spacing w:val="1"/>
        </w:rPr>
        <w:t> </w:t>
      </w:r>
      <w:r>
        <w:rPr>
          <w:color w:val="212121"/>
        </w:rPr>
        <w:t>certificazione,</w:t>
      </w:r>
      <w:r>
        <w:rPr>
          <w:color w:val="212121"/>
          <w:spacing w:val="1"/>
        </w:rPr>
        <w:t> </w:t>
      </w:r>
      <w:r>
        <w:rPr>
          <w:color w:val="212121"/>
        </w:rPr>
        <w:t>arrivare</w:t>
      </w:r>
      <w:r>
        <w:rPr>
          <w:color w:val="212121"/>
          <w:spacing w:val="1"/>
        </w:rPr>
        <w:t> </w:t>
      </w:r>
      <w:r>
        <w:rPr>
          <w:color w:val="212121"/>
        </w:rPr>
        <w:t>pronte</w:t>
      </w:r>
      <w:r>
        <w:rPr>
          <w:color w:val="212121"/>
          <w:spacing w:val="1"/>
        </w:rPr>
        <w:t> </w:t>
      </w:r>
      <w:r>
        <w:rPr>
          <w:color w:val="212121"/>
        </w:rPr>
        <w:t>all’appuntamento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comportato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necessità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revisionare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aggiornare le procedure preesistenti, a partire dalla riconsiderazione di tutti gli ambiti sopra elencati.</w:t>
      </w:r>
      <w:r>
        <w:rPr>
          <w:color w:val="212121"/>
          <w:spacing w:val="1"/>
        </w:rPr>
        <w:t> </w:t>
      </w:r>
      <w:r>
        <w:rPr>
          <w:color w:val="212121"/>
        </w:rPr>
        <w:t>Prerequisito fondamentale è stato il coinvolgimento proattivo di tutto il personale e la sua formazione</w:t>
      </w:r>
      <w:r>
        <w:rPr>
          <w:color w:val="212121"/>
          <w:spacing w:val="1"/>
        </w:rPr>
        <w:t> </w:t>
      </w:r>
      <w:r>
        <w:rPr>
          <w:color w:val="212121"/>
        </w:rPr>
        <w:t>rispetto</w:t>
      </w:r>
      <w:r>
        <w:rPr>
          <w:color w:val="212121"/>
          <w:spacing w:val="1"/>
        </w:rPr>
        <w:t> </w:t>
      </w:r>
      <w:r>
        <w:rPr>
          <w:color w:val="212121"/>
        </w:rPr>
        <w:t>alle esigenti richieste della norma ISO 9001:2015. Formazione e supporto tecnico sono stati</w:t>
      </w:r>
      <w:r>
        <w:rPr>
          <w:color w:val="212121"/>
          <w:spacing w:val="1"/>
        </w:rPr>
        <w:t> </w:t>
      </w:r>
      <w:r>
        <w:rPr>
          <w:color w:val="212121"/>
        </w:rPr>
        <w:t>garantiti lungo tutto il processo dall’Ufficio Accreditamenti e Riconoscimento IRCCS dello IOV, diretto</w:t>
      </w:r>
      <w:r>
        <w:rPr>
          <w:color w:val="212121"/>
          <w:spacing w:val="1"/>
        </w:rPr>
        <w:t> </w:t>
      </w:r>
      <w:r>
        <w:rPr>
          <w:color w:val="212121"/>
        </w:rPr>
        <w:t>dal dottor Marco Cercenà.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3472" w:right="3465" w:hanging="5"/>
        <w:jc w:val="center"/>
      </w:pPr>
      <w:r>
        <w:rPr/>
        <w:t>Ufficio</w:t>
      </w:r>
      <w:r>
        <w:rPr>
          <w:spacing w:val="1"/>
        </w:rPr>
        <w:t> </w:t>
      </w:r>
      <w:r>
        <w:rPr/>
        <w:t>Stampa</w:t>
      </w:r>
      <w:r>
        <w:rPr>
          <w:spacing w:val="2"/>
        </w:rPr>
        <w:t> </w:t>
      </w:r>
      <w:r>
        <w:rPr/>
        <w:t>IOV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7">
        <w:r>
          <w:rPr>
            <w:color w:val="1154CC"/>
            <w:spacing w:val="-1"/>
            <w:u w:val="thick" w:color="1154CC"/>
          </w:rPr>
          <w:t>ufficio.stampa@iov.veneto.it</w:t>
        </w:r>
      </w:hyperlink>
      <w:r>
        <w:rPr>
          <w:color w:val="1154CC"/>
          <w:spacing w:val="-57"/>
        </w:rPr>
        <w:t> </w:t>
      </w:r>
      <w:r>
        <w:rPr/>
        <w:t>Cell: 338.5866778</w:t>
      </w:r>
    </w:p>
    <w:sectPr>
      <w:pgSz w:w="11920" w:h="16840"/>
      <w:pgMar w:header="634" w:footer="613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1292859</wp:posOffset>
          </wp:positionH>
          <wp:positionV relativeFrom="page">
            <wp:posOffset>10177150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31" w:right="5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31" w:right="54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2022-09-19T06:39:41Z</dcterms:created>
  <dcterms:modified xsi:type="dcterms:W3CDTF">2022-09-19T06:39:41Z</dcterms:modified>
</cp:coreProperties>
</file>