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3"/>
        </w:rPr>
      </w:pPr>
    </w:p>
    <w:p>
      <w:pPr>
        <w:spacing w:before="89"/>
        <w:ind w:left="1438" w:right="1428" w:firstLine="0"/>
        <w:jc w:val="center"/>
        <w:rPr>
          <w:b/>
          <w:sz w:val="28"/>
        </w:rPr>
      </w:pPr>
      <w:r>
        <w:rPr>
          <w:b/>
          <w:spacing w:val="-3"/>
          <w:sz w:val="28"/>
          <w:u w:val="thick"/>
        </w:rPr>
        <w:t>COMUNICATO</w:t>
      </w:r>
      <w:r>
        <w:rPr>
          <w:b/>
          <w:spacing w:val="-15"/>
          <w:sz w:val="28"/>
          <w:u w:val="thick"/>
        </w:rPr>
        <w:t> </w:t>
      </w:r>
      <w:r>
        <w:rPr>
          <w:b/>
          <w:spacing w:val="-3"/>
          <w:sz w:val="28"/>
          <w:u w:val="thick"/>
        </w:rPr>
        <w:t>STAMPA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</w:rPr>
      </w:pPr>
    </w:p>
    <w:p>
      <w:pPr>
        <w:pStyle w:val="Title"/>
        <w:spacing w:line="338" w:lineRule="auto"/>
        <w:ind w:left="1441"/>
      </w:pPr>
      <w:r>
        <w:rPr>
          <w:color w:val="212121"/>
          <w:spacing w:val="-1"/>
        </w:rPr>
        <w:t>IOV,</w:t>
      </w:r>
      <w:r>
        <w:rPr>
          <w:color w:val="212121"/>
          <w:spacing w:val="-22"/>
        </w:rPr>
        <w:t> </w:t>
      </w:r>
      <w:r>
        <w:rPr>
          <w:color w:val="212121"/>
          <w:spacing w:val="-1"/>
        </w:rPr>
        <w:t>PARCO</w:t>
      </w:r>
      <w:r>
        <w:rPr>
          <w:color w:val="212121"/>
          <w:spacing w:val="-21"/>
        </w:rPr>
        <w:t> </w:t>
      </w:r>
      <w:r>
        <w:rPr>
          <w:color w:val="212121"/>
          <w:spacing w:val="-1"/>
        </w:rPr>
        <w:t>DELL'OSPEDALE</w:t>
      </w:r>
      <w:r>
        <w:rPr>
          <w:color w:val="212121"/>
          <w:spacing w:val="-21"/>
        </w:rPr>
        <w:t> </w:t>
      </w:r>
      <w:r>
        <w:rPr>
          <w:color w:val="212121"/>
        </w:rPr>
        <w:t>BUSONERA:</w:t>
      </w:r>
      <w:r>
        <w:rPr>
          <w:color w:val="212121"/>
          <w:spacing w:val="-87"/>
        </w:rPr>
        <w:t> </w:t>
      </w:r>
      <w:r>
        <w:rPr>
          <w:color w:val="212121"/>
        </w:rPr>
        <w:t>PARTONO</w:t>
      </w:r>
      <w:r>
        <w:rPr>
          <w:color w:val="212121"/>
          <w:spacing w:val="-6"/>
        </w:rPr>
        <w:t> </w:t>
      </w:r>
      <w:r>
        <w:rPr>
          <w:color w:val="212121"/>
        </w:rPr>
        <w:t>I</w:t>
      </w:r>
      <w:r>
        <w:rPr>
          <w:color w:val="212121"/>
          <w:spacing w:val="-6"/>
        </w:rPr>
        <w:t> </w:t>
      </w:r>
      <w:r>
        <w:rPr>
          <w:color w:val="212121"/>
        </w:rPr>
        <w:t>LAVORI</w:t>
      </w:r>
      <w:r>
        <w:rPr>
          <w:color w:val="212121"/>
          <w:spacing w:val="-6"/>
        </w:rPr>
        <w:t> </w:t>
      </w:r>
      <w:r>
        <w:rPr>
          <w:color w:val="212121"/>
        </w:rPr>
        <w:t>DI</w:t>
      </w:r>
      <w:r>
        <w:rPr>
          <w:color w:val="212121"/>
          <w:spacing w:val="-6"/>
        </w:rPr>
        <w:t> </w:t>
      </w:r>
      <w:r>
        <w:rPr>
          <w:color w:val="212121"/>
        </w:rPr>
        <w:t>RIPRISTINO</w:t>
      </w:r>
    </w:p>
    <w:p>
      <w:pPr>
        <w:pStyle w:val="Title"/>
        <w:spacing w:before="2"/>
      </w:pPr>
      <w:r>
        <w:rPr>
          <w:color w:val="212121"/>
        </w:rPr>
        <w:t>DEL</w:t>
      </w:r>
      <w:r>
        <w:rPr>
          <w:color w:val="212121"/>
          <w:spacing w:val="-22"/>
        </w:rPr>
        <w:t> </w:t>
      </w:r>
      <w:r>
        <w:rPr>
          <w:color w:val="212121"/>
        </w:rPr>
        <w:t>MANTO</w:t>
      </w:r>
      <w:r>
        <w:rPr>
          <w:color w:val="212121"/>
          <w:spacing w:val="-2"/>
        </w:rPr>
        <w:t> </w:t>
      </w:r>
      <w:r>
        <w:rPr>
          <w:color w:val="212121"/>
        </w:rPr>
        <w:t>STRADALE</w:t>
      </w:r>
    </w:p>
    <w:p>
      <w:pPr>
        <w:pStyle w:val="BodyText"/>
        <w:spacing w:before="1"/>
        <w:rPr>
          <w:b/>
          <w:sz w:val="58"/>
        </w:rPr>
      </w:pPr>
    </w:p>
    <w:p>
      <w:pPr>
        <w:spacing w:line="252" w:lineRule="auto" w:before="0"/>
        <w:ind w:left="207" w:right="199" w:firstLine="4"/>
        <w:jc w:val="center"/>
        <w:rPr>
          <w:b/>
          <w:sz w:val="26"/>
        </w:rPr>
      </w:pPr>
      <w:r>
        <w:rPr>
          <w:b/>
          <w:color w:val="212121"/>
          <w:sz w:val="26"/>
        </w:rPr>
        <w:t>L’intervento, articolato in più fasi, comporterà la temporanea riduzione degli stalli 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disposizione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dipendenti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utenti.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cantieri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saranno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aperti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indicativamente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10"/>
          <w:sz w:val="26"/>
        </w:rPr>
        <w:t> </w:t>
      </w:r>
      <w:r>
        <w:rPr>
          <w:b/>
          <w:color w:val="212121"/>
          <w:sz w:val="26"/>
        </w:rPr>
        <w:t>un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mese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mezzo;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tempistica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esatta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dei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lavori,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non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più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procrastinabili,</w:t>
      </w:r>
    </w:p>
    <w:p>
      <w:pPr>
        <w:spacing w:before="3"/>
        <w:ind w:left="1438" w:right="1428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è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correlata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alle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condizioni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climatiche.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52" w:lineRule="auto"/>
        <w:ind w:left="115" w:right="106"/>
        <w:jc w:val="both"/>
      </w:pPr>
      <w:r>
        <w:rPr>
          <w:color w:val="212121"/>
        </w:rPr>
        <w:t>Padova, 30 settembre 2022. Lunedì 3 ottobre inizieranno i lavori di ripristino del manto stradale</w:t>
      </w:r>
      <w:r>
        <w:rPr>
          <w:color w:val="212121"/>
          <w:spacing w:val="-62"/>
        </w:rPr>
        <w:t> </w:t>
      </w:r>
      <w:r>
        <w:rPr>
          <w:color w:val="212121"/>
        </w:rPr>
        <w:t>dei vialetti interni al parco dell’Ospedale Busonera, in via Gattamelata 64. L’intervento, che</w:t>
      </w:r>
      <w:r>
        <w:rPr>
          <w:color w:val="212121"/>
          <w:spacing w:val="1"/>
        </w:rPr>
        <w:t> </w:t>
      </w:r>
      <w:r>
        <w:rPr>
          <w:color w:val="212121"/>
        </w:rPr>
        <w:t>durerà</w:t>
      </w:r>
      <w:r>
        <w:rPr>
          <w:color w:val="212121"/>
          <w:spacing w:val="1"/>
        </w:rPr>
        <w:t> </w:t>
      </w:r>
      <w:r>
        <w:rPr>
          <w:color w:val="212121"/>
        </w:rPr>
        <w:t>indicativamente</w:t>
      </w:r>
      <w:r>
        <w:rPr>
          <w:color w:val="212121"/>
          <w:spacing w:val="1"/>
        </w:rPr>
        <w:t> </w:t>
      </w:r>
      <w:r>
        <w:rPr>
          <w:color w:val="212121"/>
        </w:rPr>
        <w:t>fino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terza</w:t>
      </w:r>
      <w:r>
        <w:rPr>
          <w:color w:val="212121"/>
          <w:spacing w:val="1"/>
        </w:rPr>
        <w:t> </w:t>
      </w:r>
      <w:r>
        <w:rPr>
          <w:color w:val="212121"/>
        </w:rPr>
        <w:t>settimana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novembre</w:t>
      </w:r>
      <w:r>
        <w:rPr>
          <w:color w:val="212121"/>
          <w:spacing w:val="1"/>
        </w:rPr>
        <w:t> </w:t>
      </w:r>
      <w:r>
        <w:rPr>
          <w:color w:val="212121"/>
        </w:rPr>
        <w:t>articolandosi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fasi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interessando più zone del parco, comporterà la temporanea inibizione di posti auto interni, in</w:t>
      </w:r>
      <w:r>
        <w:rPr>
          <w:color w:val="212121"/>
          <w:spacing w:val="1"/>
        </w:rPr>
        <w:t> </w:t>
      </w:r>
      <w:r>
        <w:rPr>
          <w:color w:val="212121"/>
        </w:rPr>
        <w:t>numero</w:t>
      </w:r>
      <w:r>
        <w:rPr>
          <w:color w:val="212121"/>
          <w:spacing w:val="1"/>
        </w:rPr>
        <w:t> </w:t>
      </w:r>
      <w:r>
        <w:rPr>
          <w:color w:val="212121"/>
        </w:rPr>
        <w:t>variabile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seconda</w:t>
      </w:r>
      <w:r>
        <w:rPr>
          <w:color w:val="212121"/>
          <w:spacing w:val="1"/>
        </w:rPr>
        <w:t> </w:t>
      </w:r>
      <w:r>
        <w:rPr>
          <w:color w:val="212121"/>
        </w:rPr>
        <w:t>delle</w:t>
      </w:r>
      <w:r>
        <w:rPr>
          <w:color w:val="212121"/>
          <w:spacing w:val="1"/>
        </w:rPr>
        <w:t> </w:t>
      </w:r>
      <w:r>
        <w:rPr>
          <w:color w:val="212121"/>
        </w:rPr>
        <w:t>fasi di lavorazione. La durata effettiva di queste ultime</w:t>
      </w:r>
      <w:r>
        <w:rPr>
          <w:color w:val="212121"/>
          <w:spacing w:val="1"/>
        </w:rPr>
        <w:t> </w:t>
      </w:r>
      <w:r>
        <w:rPr>
          <w:color w:val="212121"/>
        </w:rPr>
        <w:t>dipenderà dai tempi di asciugatura del materiale posato e potrà quindi subire modifiche anche in</w:t>
      </w:r>
      <w:r>
        <w:rPr>
          <w:color w:val="212121"/>
          <w:spacing w:val="-62"/>
        </w:rPr>
        <w:t> </w:t>
      </w:r>
      <w:r>
        <w:rPr>
          <w:color w:val="212121"/>
        </w:rPr>
        <w:t>funzione</w:t>
      </w:r>
      <w:r>
        <w:rPr>
          <w:color w:val="212121"/>
          <w:spacing w:val="65"/>
        </w:rPr>
        <w:t> </w:t>
      </w:r>
      <w:r>
        <w:rPr>
          <w:color w:val="212121"/>
        </w:rPr>
        <w:t>delle condizioni climatiche. Si evidenzia che una parte di parcheggi rimarrà, per</w:t>
      </w:r>
      <w:r>
        <w:rPr>
          <w:color w:val="212121"/>
          <w:spacing w:val="1"/>
        </w:rPr>
        <w:t> </w:t>
      </w:r>
      <w:r>
        <w:rPr>
          <w:color w:val="212121"/>
        </w:rPr>
        <w:t>l'intera</w:t>
      </w:r>
      <w:r>
        <w:rPr>
          <w:color w:val="212121"/>
          <w:spacing w:val="-3"/>
        </w:rPr>
        <w:t> </w:t>
      </w:r>
      <w:r>
        <w:rPr>
          <w:color w:val="212121"/>
        </w:rPr>
        <w:t>durata</w:t>
      </w:r>
      <w:r>
        <w:rPr>
          <w:color w:val="212121"/>
          <w:spacing w:val="-3"/>
        </w:rPr>
        <w:t> </w:t>
      </w:r>
      <w:r>
        <w:rPr>
          <w:color w:val="212121"/>
        </w:rPr>
        <w:t>dei</w:t>
      </w:r>
      <w:r>
        <w:rPr>
          <w:color w:val="212121"/>
          <w:spacing w:val="-3"/>
        </w:rPr>
        <w:t> </w:t>
      </w:r>
      <w:r>
        <w:rPr>
          <w:color w:val="212121"/>
        </w:rPr>
        <w:t>lavori,</w:t>
      </w:r>
      <w:r>
        <w:rPr>
          <w:color w:val="212121"/>
          <w:spacing w:val="-2"/>
        </w:rPr>
        <w:t> </w:t>
      </w:r>
      <w:r>
        <w:rPr>
          <w:color w:val="212121"/>
        </w:rPr>
        <w:t>sempre</w:t>
      </w:r>
      <w:r>
        <w:rPr>
          <w:color w:val="212121"/>
          <w:spacing w:val="-3"/>
        </w:rPr>
        <w:t> </w:t>
      </w:r>
      <w:r>
        <w:rPr>
          <w:color w:val="212121"/>
        </w:rPr>
        <w:t>disponibile,</w:t>
      </w:r>
      <w:r>
        <w:rPr>
          <w:color w:val="212121"/>
          <w:spacing w:val="-3"/>
        </w:rPr>
        <w:t> </w:t>
      </w:r>
      <w:r>
        <w:rPr>
          <w:color w:val="212121"/>
        </w:rPr>
        <w:t>sia</w:t>
      </w:r>
      <w:r>
        <w:rPr>
          <w:color w:val="212121"/>
          <w:spacing w:val="-2"/>
        </w:rPr>
        <w:t> </w:t>
      </w:r>
      <w:r>
        <w:rPr>
          <w:color w:val="212121"/>
        </w:rPr>
        <w:t>per</w:t>
      </w:r>
      <w:r>
        <w:rPr>
          <w:color w:val="212121"/>
          <w:spacing w:val="-3"/>
        </w:rPr>
        <w:t> </w:t>
      </w:r>
      <w:r>
        <w:rPr>
          <w:color w:val="212121"/>
        </w:rPr>
        <w:t>gli</w:t>
      </w:r>
      <w:r>
        <w:rPr>
          <w:color w:val="212121"/>
          <w:spacing w:val="-3"/>
        </w:rPr>
        <w:t> </w:t>
      </w:r>
      <w:r>
        <w:rPr>
          <w:color w:val="212121"/>
        </w:rPr>
        <w:t>utenti,</w:t>
      </w:r>
      <w:r>
        <w:rPr>
          <w:color w:val="212121"/>
          <w:spacing w:val="-2"/>
        </w:rPr>
        <w:t> </w:t>
      </w:r>
      <w:r>
        <w:rPr>
          <w:color w:val="212121"/>
        </w:rPr>
        <w:t>sia</w:t>
      </w:r>
      <w:r>
        <w:rPr>
          <w:color w:val="212121"/>
          <w:spacing w:val="-3"/>
        </w:rPr>
        <w:t> </w:t>
      </w:r>
      <w:r>
        <w:rPr>
          <w:color w:val="212121"/>
        </w:rPr>
        <w:t>per</w:t>
      </w:r>
      <w:r>
        <w:rPr>
          <w:color w:val="212121"/>
          <w:spacing w:val="-3"/>
        </w:rPr>
        <w:t> </w:t>
      </w:r>
      <w:r>
        <w:rPr>
          <w:color w:val="212121"/>
        </w:rPr>
        <w:t>i</w:t>
      </w:r>
      <w:r>
        <w:rPr>
          <w:color w:val="212121"/>
          <w:spacing w:val="-2"/>
        </w:rPr>
        <w:t> </w:t>
      </w:r>
      <w:r>
        <w:rPr>
          <w:color w:val="212121"/>
        </w:rPr>
        <w:t>dipendenti.</w:t>
      </w:r>
    </w:p>
    <w:p>
      <w:pPr>
        <w:pStyle w:val="BodyText"/>
        <w:spacing w:line="252" w:lineRule="auto" w:before="219"/>
        <w:ind w:left="115" w:right="104"/>
        <w:jc w:val="both"/>
      </w:pP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quanto riguarda i dipendenti è stato deciso di autorizzare l’accesso con l’auto al solo</w:t>
      </w:r>
      <w:r>
        <w:rPr>
          <w:color w:val="212121"/>
          <w:spacing w:val="1"/>
        </w:rPr>
        <w:t> </w:t>
      </w:r>
      <w:r>
        <w:rPr>
          <w:color w:val="212121"/>
        </w:rPr>
        <w:t>personale</w:t>
      </w:r>
      <w:r>
        <w:rPr>
          <w:color w:val="212121"/>
          <w:spacing w:val="1"/>
        </w:rPr>
        <w:t> </w:t>
      </w:r>
      <w:r>
        <w:rPr>
          <w:color w:val="212121"/>
        </w:rPr>
        <w:t>turnista,</w:t>
      </w:r>
      <w:r>
        <w:rPr>
          <w:color w:val="212121"/>
          <w:spacing w:val="1"/>
        </w:rPr>
        <w:t> </w:t>
      </w:r>
      <w:r>
        <w:rPr>
          <w:color w:val="212121"/>
        </w:rPr>
        <w:t>reperibile,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guardia</w:t>
      </w:r>
      <w:r>
        <w:rPr>
          <w:color w:val="212121"/>
          <w:spacing w:val="1"/>
        </w:rPr>
        <w:t> </w:t>
      </w:r>
      <w:r>
        <w:rPr>
          <w:color w:val="212121"/>
        </w:rPr>
        <w:t>e a quello con limitazioni/gravidanza/allattamento</w:t>
      </w:r>
      <w:r>
        <w:rPr>
          <w:color w:val="212121"/>
          <w:spacing w:val="1"/>
        </w:rPr>
        <w:t> </w:t>
      </w:r>
      <w:r>
        <w:rPr>
          <w:color w:val="212121"/>
        </w:rPr>
        <w:t>autocertificati. Gli operatori così individuati (stimati in circa una novantina) sono stati dotati di</w:t>
      </w:r>
      <w:r>
        <w:rPr>
          <w:color w:val="212121"/>
          <w:spacing w:val="1"/>
        </w:rPr>
        <w:t> </w:t>
      </w:r>
      <w:r>
        <w:rPr>
          <w:color w:val="212121"/>
        </w:rPr>
        <w:t>un pass da esporre sul cruscotto dell’auto e potranno parcheggiare nell'area riservata ai soli</w:t>
      </w:r>
      <w:r>
        <w:rPr>
          <w:color w:val="212121"/>
          <w:spacing w:val="1"/>
        </w:rPr>
        <w:t> </w:t>
      </w:r>
      <w:r>
        <w:rPr>
          <w:color w:val="212121"/>
        </w:rPr>
        <w:t>dipendenti autorizzati. I pazienti avranno sempre dedicata una quota di parcheggi</w:t>
      </w:r>
      <w:r>
        <w:rPr>
          <w:color w:val="212121"/>
          <w:spacing w:val="65"/>
        </w:rPr>
        <w:t> </w:t>
      </w:r>
      <w:r>
        <w:rPr>
          <w:color w:val="212121"/>
        </w:rPr>
        <w:t>durante tutte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-2"/>
        </w:rPr>
        <w:t> </w:t>
      </w:r>
      <w:r>
        <w:rPr>
          <w:color w:val="212121"/>
        </w:rPr>
        <w:t>varie</w:t>
      </w:r>
      <w:r>
        <w:rPr>
          <w:color w:val="212121"/>
          <w:spacing w:val="-1"/>
        </w:rPr>
        <w:t> </w:t>
      </w:r>
      <w:r>
        <w:rPr>
          <w:color w:val="212121"/>
        </w:rPr>
        <w:t>fasi</w:t>
      </w:r>
      <w:r>
        <w:rPr>
          <w:color w:val="212121"/>
          <w:spacing w:val="-1"/>
        </w:rPr>
        <w:t> </w:t>
      </w:r>
      <w:r>
        <w:rPr>
          <w:color w:val="212121"/>
        </w:rPr>
        <w:t>dei</w:t>
      </w:r>
      <w:r>
        <w:rPr>
          <w:color w:val="212121"/>
          <w:spacing w:val="-2"/>
        </w:rPr>
        <w:t> </w:t>
      </w:r>
      <w:r>
        <w:rPr>
          <w:color w:val="212121"/>
        </w:rPr>
        <w:t>lavori,</w:t>
      </w:r>
      <w:r>
        <w:rPr>
          <w:color w:val="212121"/>
          <w:spacing w:val="-1"/>
        </w:rPr>
        <w:t> </w:t>
      </w:r>
      <w:r>
        <w:rPr>
          <w:color w:val="212121"/>
        </w:rPr>
        <w:t>fino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riempimento.</w:t>
      </w:r>
    </w:p>
    <w:p>
      <w:pPr>
        <w:pStyle w:val="BodyText"/>
        <w:spacing w:line="254" w:lineRule="auto" w:before="206"/>
        <w:ind w:left="115" w:right="104"/>
        <w:jc w:val="both"/>
      </w:pPr>
      <w:r>
        <w:rPr>
          <w:color w:val="212121"/>
        </w:rPr>
        <w:t>L’interdizione all’accesso ai dipendenti sprovvisti di pass sarà limitato alla sola fascia oraria</w:t>
      </w:r>
      <w:r>
        <w:rPr>
          <w:color w:val="212121"/>
          <w:spacing w:val="1"/>
        </w:rPr>
        <w:t> </w:t>
      </w:r>
      <w:r>
        <w:rPr>
          <w:color w:val="212121"/>
        </w:rPr>
        <w:t>dalle 5.00 alle 15.00. Nella rimanente parte della giornata l’accesso alle aree di parcheggio sarà</w:t>
      </w:r>
      <w:r>
        <w:rPr>
          <w:color w:val="212121"/>
          <w:spacing w:val="1"/>
        </w:rPr>
        <w:t> </w:t>
      </w:r>
      <w:r>
        <w:rPr>
          <w:color w:val="212121"/>
        </w:rPr>
        <w:t>libero e non distinto tra dipendenti e pazienti. Invariato l’accesso delle ambulanze e dei pedoni</w:t>
      </w:r>
      <w:r>
        <w:rPr>
          <w:color w:val="212121"/>
          <w:spacing w:val="1"/>
        </w:rPr>
        <w:t> </w:t>
      </w:r>
      <w:r>
        <w:rPr>
          <w:color w:val="212121"/>
        </w:rPr>
        <w:t>così come l'accesso fino alla camera calda. Durante l'intero periodo di lavori verrà potenziato il</w:t>
      </w:r>
      <w:r>
        <w:rPr>
          <w:color w:val="212121"/>
          <w:spacing w:val="1"/>
        </w:rPr>
        <w:t> </w:t>
      </w:r>
      <w:r>
        <w:rPr>
          <w:color w:val="212121"/>
        </w:rPr>
        <w:t>personale</w:t>
      </w:r>
      <w:r>
        <w:rPr>
          <w:color w:val="212121"/>
          <w:spacing w:val="-2"/>
        </w:rPr>
        <w:t> </w:t>
      </w:r>
      <w:r>
        <w:rPr>
          <w:color w:val="212121"/>
        </w:rPr>
        <w:t>adibito</w:t>
      </w:r>
      <w:r>
        <w:rPr>
          <w:color w:val="212121"/>
          <w:spacing w:val="-1"/>
        </w:rPr>
        <w:t> </w:t>
      </w:r>
      <w:r>
        <w:rPr>
          <w:color w:val="212121"/>
        </w:rPr>
        <w:t>al</w:t>
      </w:r>
      <w:r>
        <w:rPr>
          <w:color w:val="212121"/>
          <w:spacing w:val="-2"/>
        </w:rPr>
        <w:t> </w:t>
      </w:r>
      <w:r>
        <w:rPr>
          <w:color w:val="212121"/>
        </w:rPr>
        <w:t>controllo</w:t>
      </w:r>
      <w:r>
        <w:rPr>
          <w:color w:val="212121"/>
          <w:spacing w:val="-1"/>
        </w:rPr>
        <w:t> </w:t>
      </w:r>
      <w:r>
        <w:rPr>
          <w:color w:val="212121"/>
        </w:rPr>
        <w:t>degli</w:t>
      </w:r>
      <w:r>
        <w:rPr>
          <w:color w:val="212121"/>
          <w:spacing w:val="-1"/>
        </w:rPr>
        <w:t> </w:t>
      </w:r>
      <w:r>
        <w:rPr>
          <w:color w:val="212121"/>
        </w:rPr>
        <w:t>accessi.</w:t>
      </w:r>
    </w:p>
    <w:p>
      <w:pPr>
        <w:spacing w:after="0" w:line="254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90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54" w:lineRule="auto" w:before="89"/>
        <w:ind w:left="115" w:right="104"/>
        <w:jc w:val="both"/>
      </w:pP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direzione</w:t>
      </w:r>
      <w:r>
        <w:rPr>
          <w:color w:val="212121"/>
          <w:spacing w:val="1"/>
        </w:rPr>
        <w:t> </w:t>
      </w:r>
      <w:r>
        <w:rPr>
          <w:color w:val="212121"/>
        </w:rPr>
        <w:t>lavori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1"/>
        </w:rPr>
        <w:t> </w:t>
      </w:r>
      <w:r>
        <w:rPr>
          <w:color w:val="212121"/>
        </w:rPr>
        <w:t>occuperà di provvedere all’installazione di opportuna segnaletica di</w:t>
      </w:r>
      <w:r>
        <w:rPr>
          <w:color w:val="212121"/>
          <w:spacing w:val="1"/>
        </w:rPr>
        <w:t> </w:t>
      </w:r>
      <w:r>
        <w:rPr>
          <w:color w:val="212121"/>
        </w:rPr>
        <w:t>cantiere necessaria a regolamentare la nuova viabilità. Si precisa che l’Amministrazione dello</w:t>
      </w:r>
      <w:r>
        <w:rPr>
          <w:color w:val="212121"/>
          <w:spacing w:val="1"/>
        </w:rPr>
        <w:t> </w:t>
      </w:r>
      <w:r>
        <w:rPr>
          <w:color w:val="212121"/>
        </w:rPr>
        <w:t>IOV ha tentato di programmare tali lavori in un periodo a più bassa pressione di accessi ma la</w:t>
      </w:r>
      <w:r>
        <w:rPr>
          <w:color w:val="212121"/>
          <w:spacing w:val="1"/>
        </w:rPr>
        <w:t> </w:t>
      </w:r>
      <w:r>
        <w:rPr>
          <w:color w:val="212121"/>
        </w:rPr>
        <w:t>tipologia di intervento, legata all’utilizzo di particolari resine, ne sconsiglia l’esecuzione in</w:t>
      </w:r>
      <w:r>
        <w:rPr>
          <w:color w:val="212121"/>
          <w:spacing w:val="1"/>
        </w:rPr>
        <w:t> </w:t>
      </w:r>
      <w:r>
        <w:rPr>
          <w:color w:val="212121"/>
        </w:rPr>
        <w:t>presenza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temperature</w:t>
      </w:r>
      <w:r>
        <w:rPr>
          <w:color w:val="212121"/>
          <w:spacing w:val="1"/>
        </w:rPr>
        <w:t> </w:t>
      </w:r>
      <w:r>
        <w:rPr>
          <w:color w:val="212121"/>
        </w:rPr>
        <w:t>esterne</w:t>
      </w:r>
      <w:r>
        <w:rPr>
          <w:color w:val="212121"/>
          <w:spacing w:val="1"/>
        </w:rPr>
        <w:t> </w:t>
      </w:r>
      <w:r>
        <w:rPr>
          <w:color w:val="212121"/>
        </w:rPr>
        <w:t>molto</w:t>
      </w:r>
      <w:r>
        <w:rPr>
          <w:color w:val="212121"/>
          <w:spacing w:val="1"/>
        </w:rPr>
        <w:t> </w:t>
      </w:r>
      <w:r>
        <w:rPr>
          <w:color w:val="212121"/>
        </w:rPr>
        <w:t>alte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molto</w:t>
      </w:r>
      <w:r>
        <w:rPr>
          <w:color w:val="212121"/>
          <w:spacing w:val="1"/>
        </w:rPr>
        <w:t> </w:t>
      </w:r>
      <w:r>
        <w:rPr>
          <w:color w:val="212121"/>
        </w:rPr>
        <w:t>basse.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1"/>
        </w:rPr>
        <w:t> </w:t>
      </w:r>
      <w:r>
        <w:rPr>
          <w:color w:val="212121"/>
        </w:rPr>
        <w:t>tratta</w:t>
      </w:r>
      <w:r>
        <w:rPr>
          <w:color w:val="212121"/>
          <w:spacing w:val="1"/>
        </w:rPr>
        <w:t> </w:t>
      </w:r>
      <w:r>
        <w:rPr>
          <w:color w:val="212121"/>
        </w:rPr>
        <w:t>quindi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interventi</w:t>
      </w:r>
      <w:r>
        <w:rPr>
          <w:color w:val="212121"/>
          <w:spacing w:val="1"/>
        </w:rPr>
        <w:t> </w:t>
      </w:r>
      <w:r>
        <w:rPr>
          <w:color w:val="212121"/>
        </w:rPr>
        <w:t>improcrastinabili</w:t>
      </w:r>
      <w:r>
        <w:rPr>
          <w:color w:val="212121"/>
          <w:spacing w:val="-5"/>
        </w:rPr>
        <w:t> </w:t>
      </w:r>
      <w:r>
        <w:rPr>
          <w:color w:val="212121"/>
        </w:rPr>
        <w:t>per</w:t>
      </w:r>
      <w:r>
        <w:rPr>
          <w:color w:val="212121"/>
          <w:spacing w:val="-4"/>
        </w:rPr>
        <w:t> </w:t>
      </w:r>
      <w:r>
        <w:rPr>
          <w:color w:val="212121"/>
        </w:rPr>
        <w:t>i</w:t>
      </w:r>
      <w:r>
        <w:rPr>
          <w:color w:val="212121"/>
          <w:spacing w:val="-5"/>
        </w:rPr>
        <w:t> </w:t>
      </w:r>
      <w:r>
        <w:rPr>
          <w:color w:val="212121"/>
        </w:rPr>
        <w:t>quali</w:t>
      </w:r>
      <w:r>
        <w:rPr>
          <w:color w:val="212121"/>
          <w:spacing w:val="-4"/>
        </w:rPr>
        <w:t> </w:t>
      </w:r>
      <w:r>
        <w:rPr>
          <w:color w:val="212121"/>
        </w:rPr>
        <w:t>ci</w:t>
      </w:r>
      <w:r>
        <w:rPr>
          <w:color w:val="212121"/>
          <w:spacing w:val="-5"/>
        </w:rPr>
        <w:t> </w:t>
      </w:r>
      <w:r>
        <w:rPr>
          <w:color w:val="212121"/>
        </w:rPr>
        <w:t>scusiamo</w:t>
      </w:r>
      <w:r>
        <w:rPr>
          <w:color w:val="212121"/>
          <w:spacing w:val="-4"/>
        </w:rPr>
        <w:t> </w:t>
      </w:r>
      <w:r>
        <w:rPr>
          <w:color w:val="212121"/>
        </w:rPr>
        <w:t>comunque</w:t>
      </w:r>
      <w:r>
        <w:rPr>
          <w:color w:val="212121"/>
          <w:spacing w:val="-5"/>
        </w:rPr>
        <w:t> </w:t>
      </w:r>
      <w:r>
        <w:rPr>
          <w:color w:val="212121"/>
        </w:rPr>
        <w:t>con</w:t>
      </w:r>
      <w:r>
        <w:rPr>
          <w:color w:val="212121"/>
          <w:spacing w:val="-4"/>
        </w:rPr>
        <w:t> </w:t>
      </w:r>
      <w:r>
        <w:rPr>
          <w:color w:val="212121"/>
        </w:rPr>
        <w:t>l’utenza</w:t>
      </w:r>
      <w:r>
        <w:rPr>
          <w:color w:val="212121"/>
          <w:spacing w:val="-5"/>
        </w:rPr>
        <w:t> </w:t>
      </w:r>
      <w:r>
        <w:rPr>
          <w:color w:val="212121"/>
        </w:rPr>
        <w:t>e</w:t>
      </w:r>
      <w:r>
        <w:rPr>
          <w:color w:val="212121"/>
          <w:spacing w:val="-4"/>
        </w:rPr>
        <w:t> </w:t>
      </w:r>
      <w:r>
        <w:rPr>
          <w:color w:val="212121"/>
        </w:rPr>
        <w:t>con</w:t>
      </w:r>
      <w:r>
        <w:rPr>
          <w:color w:val="212121"/>
          <w:spacing w:val="-4"/>
        </w:rPr>
        <w:t> </w:t>
      </w:r>
      <w:r>
        <w:rPr>
          <w:color w:val="212121"/>
        </w:rPr>
        <w:t>i</w:t>
      </w:r>
      <w:r>
        <w:rPr>
          <w:color w:val="212121"/>
          <w:spacing w:val="-5"/>
        </w:rPr>
        <w:t> </w:t>
      </w:r>
      <w:r>
        <w:rPr>
          <w:color w:val="212121"/>
        </w:rPr>
        <w:t>dipendenti</w:t>
      </w:r>
      <w:r>
        <w:rPr>
          <w:color w:val="212121"/>
          <w:spacing w:val="-4"/>
        </w:rPr>
        <w:t> </w:t>
      </w:r>
      <w:r>
        <w:rPr>
          <w:color w:val="212121"/>
        </w:rPr>
        <w:t>per</w:t>
      </w:r>
      <w:r>
        <w:rPr>
          <w:color w:val="212121"/>
          <w:spacing w:val="-5"/>
        </w:rPr>
        <w:t> </w:t>
      </w:r>
      <w:r>
        <w:rPr>
          <w:color w:val="212121"/>
        </w:rPr>
        <w:t>i</w:t>
      </w:r>
      <w:r>
        <w:rPr>
          <w:color w:val="212121"/>
          <w:spacing w:val="-4"/>
        </w:rPr>
        <w:t> </w:t>
      </w:r>
      <w:r>
        <w:rPr>
          <w:color w:val="212121"/>
        </w:rPr>
        <w:t>disagi.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00" w:lineRule="auto"/>
        <w:ind w:left="115" w:right="6368"/>
      </w:pPr>
      <w:r>
        <w:rPr/>
        <w:t>Ufficio Stampa IOV - IRCCS</w:t>
      </w:r>
      <w:r>
        <w:rPr>
          <w:spacing w:val="1"/>
        </w:rPr>
        <w:t> </w:t>
      </w:r>
      <w:r>
        <w:rPr>
          <w:spacing w:val="-1"/>
        </w:rPr>
        <w:t>Email: </w:t>
      </w:r>
      <w:hyperlink r:id="rId7">
        <w:r>
          <w:rPr>
            <w:color w:val="1154CC"/>
            <w:spacing w:val="-1"/>
            <w:u w:val="thick" w:color="1154CC"/>
          </w:rPr>
          <w:t>ufficio.stampa@iov.veneto.it</w:t>
        </w:r>
      </w:hyperlink>
      <w:r>
        <w:rPr>
          <w:color w:val="1154CC"/>
          <w:spacing w:val="-62"/>
        </w:rPr>
        <w:t> </w:t>
      </w:r>
      <w:r>
        <w:rPr/>
        <w:t>Cell:</w:t>
      </w:r>
      <w:r>
        <w:rPr>
          <w:spacing w:val="-2"/>
        </w:rPr>
        <w:t> </w:t>
      </w:r>
      <w:r>
        <w:rPr/>
        <w:t>338.5866778</w:t>
      </w:r>
    </w:p>
    <w:p>
      <w:pPr>
        <w:spacing w:after="0" w:line="300" w:lineRule="auto"/>
        <w:sectPr>
          <w:pgSz w:w="11920" w:h="16840"/>
          <w:pgMar w:header="634" w:footer="614" w:top="3160" w:bottom="800" w:left="900" w:right="760"/>
        </w:sectPr>
      </w:pPr>
    </w:p>
    <w:p>
      <w:pPr>
        <w:pStyle w:val="BodyText"/>
        <w:spacing w:before="4"/>
        <w:rPr>
          <w:sz w:val="17"/>
        </w:rPr>
      </w:pPr>
    </w:p>
    <w:sectPr>
      <w:pgSz w:w="11920" w:h="16840"/>
      <w:pgMar w:header="634" w:footer="614" w:top="3160" w:bottom="80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6608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21" w:right="142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2022-09-30T11:10:24Z</dcterms:created>
  <dcterms:modified xsi:type="dcterms:W3CDTF">2022-09-30T11:10:24Z</dcterms:modified>
</cp:coreProperties>
</file>