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331" w:val="left" w:leader="none"/>
        </w:tabs>
        <w:spacing w:line="240" w:lineRule="auto"/>
        <w:ind w:left="3186" w:right="0" w:firstLine="0"/>
        <w:rPr>
          <w:sz w:val="20"/>
        </w:rPr>
      </w:pPr>
      <w:r>
        <w:rPr/>
        <w:pict>
          <v:group style="position:absolute;margin-left:33.550003pt;margin-top:31.699997pt;width:520.4500pt;height:723.3pt;mso-position-horizontal-relative:page;mso-position-vertical-relative:page;z-index:-15770624" coordorigin="671,634" coordsize="10409,14466">
            <v:shape style="position:absolute;left:671;top:634;width:2040;height:2535" type="#_x0000_t75" stroked="false">
              <v:imagedata r:id="rId6" o:title=""/>
            </v:shape>
            <v:shape style="position:absolute;left:859;top:3100;width:10220;height:12000" coordorigin="860,3100" coordsize="10220,12000" path="m11080,3100l860,3100,860,3420,860,3460,860,15100,11080,15100,11080,3420,11080,3100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1"/>
        <w:ind w:left="409" w:right="501" w:firstLine="0"/>
        <w:jc w:val="center"/>
        <w:rPr>
          <w:b/>
          <w:sz w:val="26"/>
        </w:rPr>
      </w:pPr>
      <w:r>
        <w:rPr>
          <w:b/>
          <w:spacing w:val="-3"/>
          <w:sz w:val="26"/>
          <w:u w:val="thick"/>
        </w:rPr>
        <w:t>COMUNICATO</w:t>
      </w:r>
      <w:r>
        <w:rPr>
          <w:b/>
          <w:spacing w:val="-13"/>
          <w:sz w:val="26"/>
          <w:u w:val="thick"/>
        </w:rPr>
        <w:t> </w:t>
      </w:r>
      <w:r>
        <w:rPr>
          <w:b/>
          <w:spacing w:val="-3"/>
          <w:sz w:val="26"/>
          <w:u w:val="thick"/>
        </w:rPr>
        <w:t>STAMPA</w:t>
      </w:r>
    </w:p>
    <w:p>
      <w:pPr>
        <w:pStyle w:val="BodyText"/>
        <w:rPr>
          <w:b/>
          <w:sz w:val="28"/>
        </w:rPr>
      </w:pPr>
    </w:p>
    <w:p>
      <w:pPr>
        <w:pStyle w:val="Title"/>
        <w:spacing w:line="290" w:lineRule="auto" w:before="162"/>
        <w:ind w:right="502"/>
      </w:pPr>
      <w:r>
        <w:rPr/>
        <w:t>ISTITUTO</w:t>
      </w:r>
      <w:r>
        <w:rPr>
          <w:spacing w:val="-11"/>
        </w:rPr>
        <w:t> </w:t>
      </w:r>
      <w:r>
        <w:rPr/>
        <w:t>ONCOLOGICO</w:t>
      </w:r>
      <w:r>
        <w:rPr>
          <w:spacing w:val="-10"/>
        </w:rPr>
        <w:t> </w:t>
      </w:r>
      <w:r>
        <w:rPr/>
        <w:t>VENETO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IRCCS:</w:t>
      </w:r>
      <w:r>
        <w:rPr>
          <w:spacing w:val="-97"/>
        </w:rPr>
        <w:t> </w:t>
      </w:r>
      <w:r>
        <w:rPr/>
        <w:t>CHIUSO</w:t>
      </w:r>
      <w:r>
        <w:rPr>
          <w:spacing w:val="-3"/>
        </w:rPr>
        <w:t> </w:t>
      </w:r>
      <w:r>
        <w:rPr/>
        <w:t>POSITIVAMENTE</w:t>
      </w:r>
    </w:p>
    <w:p>
      <w:pPr>
        <w:pStyle w:val="Title"/>
        <w:spacing w:line="457" w:lineRule="exact"/>
      </w:pPr>
      <w:r>
        <w:rPr/>
        <w:t>IL</w:t>
      </w:r>
      <w:r>
        <w:rPr>
          <w:spacing w:val="-6"/>
        </w:rPr>
        <w:t> </w:t>
      </w:r>
      <w:r>
        <w:rPr/>
        <w:t>BILANCIO</w:t>
      </w:r>
      <w:r>
        <w:rPr>
          <w:spacing w:val="-6"/>
        </w:rPr>
        <w:t> </w:t>
      </w:r>
      <w:r>
        <w:rPr/>
        <w:t>D’ESERCIZIO</w:t>
      </w:r>
      <w:r>
        <w:rPr>
          <w:spacing w:val="-6"/>
        </w:rPr>
        <w:t> </w:t>
      </w:r>
      <w:r>
        <w:rPr/>
        <w:t>2022</w:t>
      </w:r>
    </w:p>
    <w:p>
      <w:pPr>
        <w:pStyle w:val="BodyText"/>
        <w:spacing w:before="3"/>
        <w:rPr>
          <w:b/>
          <w:sz w:val="39"/>
        </w:rPr>
      </w:pPr>
    </w:p>
    <w:p>
      <w:pPr>
        <w:spacing w:line="252" w:lineRule="auto" w:before="0"/>
        <w:ind w:left="409" w:right="502" w:firstLine="0"/>
        <w:jc w:val="center"/>
        <w:rPr>
          <w:b/>
          <w:sz w:val="26"/>
        </w:rPr>
      </w:pPr>
      <w:r>
        <w:rPr>
          <w:b/>
          <w:sz w:val="26"/>
        </w:rPr>
        <w:t>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conti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tornano: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utile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435mila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euro.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Lo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IOV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conferma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la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sua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situazione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sostanziale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equilibrio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bilancio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anche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un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contesto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forte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crescita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della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produzione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(+12.5%)</w:t>
      </w:r>
    </w:p>
    <w:p>
      <w:pPr>
        <w:spacing w:before="2"/>
        <w:ind w:left="409" w:right="501" w:firstLine="0"/>
        <w:jc w:val="center"/>
        <w:rPr>
          <w:b/>
          <w:sz w:val="26"/>
        </w:rPr>
      </w:pPr>
      <w:r>
        <w:rPr>
          <w:b/>
          <w:sz w:val="26"/>
        </w:rPr>
        <w:t>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del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mantenimento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alti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livelli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dell’attività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ricerca,</w:t>
      </w:r>
    </w:p>
    <w:p>
      <w:pPr>
        <w:spacing w:before="16"/>
        <w:ind w:left="409" w:right="501" w:firstLine="0"/>
        <w:jc w:val="center"/>
        <w:rPr>
          <w:b/>
          <w:sz w:val="26"/>
        </w:rPr>
      </w:pPr>
      <w:r>
        <w:rPr>
          <w:b/>
          <w:sz w:val="26"/>
        </w:rPr>
        <w:t>tutto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malgrado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la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forte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crescita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dei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prezzi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prodotti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servizi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sul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mercato.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BodyText"/>
        <w:spacing w:line="288" w:lineRule="auto"/>
        <w:ind w:left="110" w:right="204"/>
        <w:jc w:val="both"/>
      </w:pPr>
      <w:r>
        <w:rPr/>
        <w:t>Padova, 5 maggio 2023. Bilancio economico dello IOV-IRCCS, i conti tornano. L’Istituto Oncologico</w:t>
      </w:r>
      <w:r>
        <w:rPr>
          <w:spacing w:val="1"/>
        </w:rPr>
        <w:t> </w:t>
      </w:r>
      <w:r>
        <w:rPr/>
        <w:t>Veneto ha chiuso l’esercizio 2022 in attivo con un utile di 435.801 euro, dimostrando di saper tenere testa</w:t>
      </w:r>
      <w:r>
        <w:rPr>
          <w:spacing w:val="-57"/>
        </w:rPr>
        <w:t> </w:t>
      </w:r>
      <w:r>
        <w:rPr/>
        <w:t>alla complessità di sistema anche dal punto di vista finanziario. Significativo l’aumento dei ricavi per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sanitaria</w:t>
      </w:r>
      <w:r>
        <w:rPr>
          <w:spacing w:val="60"/>
        </w:rPr>
        <w:t> </w:t>
      </w:r>
      <w:r>
        <w:rPr/>
        <w:t>(ricoveri, prestazioni specialistiche e somministrazione di farmaci oncologici) pari a</w:t>
      </w:r>
      <w:r>
        <w:rPr>
          <w:spacing w:val="1"/>
        </w:rPr>
        <w:t> </w:t>
      </w:r>
      <w:r>
        <w:rPr/>
        <w:t>quasi € 17 mln. che compensano interamente l’aumento dei costi, questi ultimi considerati al netto della</w:t>
      </w:r>
      <w:r>
        <w:rPr>
          <w:spacing w:val="1"/>
        </w:rPr>
        <w:t> </w:t>
      </w:r>
      <w:r>
        <w:rPr/>
        <w:t>variazione delle giacenze e delle note di accredito sul costo dei farmaci (payback). Nel complesso lo</w:t>
      </w:r>
      <w:r>
        <w:rPr>
          <w:spacing w:val="1"/>
        </w:rPr>
        <w:t> </w:t>
      </w:r>
      <w:r>
        <w:rPr/>
        <w:t>IOV-IRCCS conferma la sua situazione di sostanziale equilibrio di bilancio anche in un contesto di forte</w:t>
      </w:r>
      <w:r>
        <w:rPr>
          <w:spacing w:val="1"/>
        </w:rPr>
        <w:t> </w:t>
      </w:r>
      <w:r>
        <w:rPr/>
        <w:t>crescita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produzione</w:t>
      </w:r>
      <w:r>
        <w:rPr>
          <w:spacing w:val="1"/>
        </w:rPr>
        <w:t> </w:t>
      </w:r>
      <w:r>
        <w:rPr/>
        <w:t>(+12.5%)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mantenimento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alti livelli dell’attività di ricerca, il tutto</w:t>
      </w:r>
      <w:r>
        <w:rPr>
          <w:spacing w:val="1"/>
        </w:rPr>
        <w:t> </w:t>
      </w:r>
      <w:r>
        <w:rPr/>
        <w:t>malgrado la forte crescita dei prezzi di prodotti e servizi sul mercato. L’equilibrio tra crescita del valore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produzione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crescita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costi</w:t>
      </w:r>
      <w:r>
        <w:rPr>
          <w:spacing w:val="1"/>
        </w:rPr>
        <w:t> </w:t>
      </w:r>
      <w:r>
        <w:rPr/>
        <w:t>derivanti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quest’ultima,</w:t>
      </w:r>
      <w:r>
        <w:rPr>
          <w:spacing w:val="1"/>
        </w:rPr>
        <w:t> </w:t>
      </w:r>
      <w:r>
        <w:rPr/>
        <w:t>può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letto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macro</w:t>
      </w:r>
      <w:r>
        <w:rPr>
          <w:spacing w:val="-57"/>
        </w:rPr>
        <w:t> </w:t>
      </w:r>
      <w:r>
        <w:rPr/>
        <w:t>indicatore di mantenimento dei livelli di produttività complessivi dell’Istituto. Il Bilancio complessivo</w:t>
      </w:r>
      <w:r>
        <w:rPr>
          <w:spacing w:val="1"/>
        </w:rPr>
        <w:t> </w:t>
      </w:r>
      <w:r>
        <w:rPr/>
        <w:t>2022 (valore della produzione) è salito quindi a € 213.554.769. L’incremento maggiore si registra sulla</w:t>
      </w:r>
      <w:r>
        <w:rPr>
          <w:spacing w:val="1"/>
        </w:rPr>
        <w:t> </w:t>
      </w:r>
      <w:r>
        <w:rPr/>
        <w:t>voce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remunerazione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mobilità</w:t>
      </w:r>
      <w:r>
        <w:rPr>
          <w:spacing w:val="1"/>
        </w:rPr>
        <w:t> </w:t>
      </w:r>
      <w:r>
        <w:rPr/>
        <w:t>sanitaria,</w:t>
      </w:r>
      <w:r>
        <w:rPr>
          <w:spacing w:val="1"/>
        </w:rPr>
        <w:t> </w:t>
      </w:r>
      <w:r>
        <w:rPr/>
        <w:t>ovvero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valore della produzione di prestazioni</w:t>
      </w:r>
      <w:r>
        <w:rPr>
          <w:spacing w:val="1"/>
        </w:rPr>
        <w:t> </w:t>
      </w:r>
      <w:r>
        <w:rPr/>
        <w:t>sanitarie (ricoveri, specialistica e somministrazione farmaci) erogate a favore di pazienti provenienti dalle</w:t>
      </w:r>
      <w:r>
        <w:rPr>
          <w:spacing w:val="-57"/>
        </w:rPr>
        <w:t> </w:t>
      </w:r>
      <w:r>
        <w:rPr/>
        <w:t>aziende sanitarie territoriali del Veneto (+15.315.975 € ovvero +12,11%) e da fuori Veneto (+1.578.030 €</w:t>
      </w:r>
      <w:r>
        <w:rPr>
          <w:spacing w:val="-57"/>
        </w:rPr>
        <w:t> </w:t>
      </w:r>
      <w:r>
        <w:rPr/>
        <w:t>ovvero</w:t>
      </w:r>
      <w:r>
        <w:rPr>
          <w:spacing w:val="1"/>
        </w:rPr>
        <w:t> </w:t>
      </w:r>
      <w:r>
        <w:rPr/>
        <w:t>+18,02%).</w:t>
      </w:r>
      <w:r>
        <w:rPr>
          <w:spacing w:val="1"/>
        </w:rPr>
        <w:t> </w:t>
      </w:r>
      <w:r>
        <w:rPr/>
        <w:t>Significativo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l’incremento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entrate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ricerca</w:t>
      </w:r>
      <w:r>
        <w:rPr>
          <w:spacing w:val="1"/>
        </w:rPr>
        <w:t> </w:t>
      </w:r>
      <w:r>
        <w:rPr/>
        <w:t>determinato</w:t>
      </w:r>
      <w:r>
        <w:rPr>
          <w:spacing w:val="1"/>
        </w:rPr>
        <w:t> </w:t>
      </w:r>
      <w:r>
        <w:rPr/>
        <w:t>dall’assegnazione da parte del Ministero del contributo 5×1000, derivante dalla scelta dei privati nella</w:t>
      </w:r>
      <w:r>
        <w:rPr>
          <w:spacing w:val="1"/>
        </w:rPr>
        <w:t> </w:t>
      </w:r>
      <w:r>
        <w:rPr/>
        <w:t>dichiarazione dei redditi, e dall’incremento del finanziamento per ricerca corrente assegnato dal Ministero</w:t>
      </w:r>
      <w:r>
        <w:rPr>
          <w:spacing w:val="-57"/>
        </w:rPr>
        <w:t> </w:t>
      </w:r>
      <w:r>
        <w:rPr/>
        <w:t>stesso.</w:t>
      </w:r>
      <w:r>
        <w:rPr>
          <w:spacing w:val="1"/>
        </w:rPr>
        <w:t> </w:t>
      </w:r>
      <w:r>
        <w:rPr/>
        <w:t>Sul fronte dei costi complessivi gli incrementi registrati nel 2022 si concentrano sul consumo di</w:t>
      </w:r>
      <w:r>
        <w:rPr>
          <w:spacing w:val="1"/>
        </w:rPr>
        <w:t> </w:t>
      </w:r>
      <w:r>
        <w:rPr/>
        <w:t>beni</w:t>
      </w:r>
      <w:r>
        <w:rPr>
          <w:spacing w:val="14"/>
        </w:rPr>
        <w:t> </w:t>
      </w:r>
      <w:r>
        <w:rPr/>
        <w:t>sanitari,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primis</w:t>
      </w:r>
      <w:r>
        <w:rPr>
          <w:spacing w:val="14"/>
        </w:rPr>
        <w:t> </w:t>
      </w:r>
      <w:r>
        <w:rPr/>
        <w:t>farmaci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dispositivi</w:t>
      </w:r>
      <w:r>
        <w:rPr>
          <w:spacing w:val="14"/>
        </w:rPr>
        <w:t> </w:t>
      </w:r>
      <w:r>
        <w:rPr/>
        <w:t>medici,</w:t>
      </w:r>
      <w:r>
        <w:rPr>
          <w:spacing w:val="14"/>
        </w:rPr>
        <w:t> </w:t>
      </w:r>
      <w:r>
        <w:rPr/>
        <w:t>(+13.760.925</w:t>
      </w:r>
      <w:r>
        <w:rPr>
          <w:spacing w:val="14"/>
        </w:rPr>
        <w:t> </w:t>
      </w:r>
      <w:r>
        <w:rPr/>
        <w:t>€</w:t>
      </w:r>
      <w:r>
        <w:rPr>
          <w:spacing w:val="14"/>
        </w:rPr>
        <w:t> </w:t>
      </w:r>
      <w:r>
        <w:rPr/>
        <w:t>ovvero</w:t>
      </w:r>
      <w:r>
        <w:rPr>
          <w:spacing w:val="14"/>
        </w:rPr>
        <w:t> </w:t>
      </w:r>
      <w:r>
        <w:rPr/>
        <w:t>+15,36%)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sul</w:t>
      </w:r>
      <w:r>
        <w:rPr>
          <w:spacing w:val="14"/>
        </w:rPr>
        <w:t> </w:t>
      </w:r>
      <w:r>
        <w:rPr/>
        <w:t>personale</w:t>
      </w:r>
      <w:r>
        <w:rPr>
          <w:spacing w:val="-1"/>
        </w:rPr>
        <w:t> </w:t>
      </w:r>
      <w:r>
        <w:rPr/>
        <w:t>(+</w:t>
      </w:r>
    </w:p>
    <w:p>
      <w:pPr>
        <w:pStyle w:val="BodyText"/>
        <w:spacing w:line="253" w:lineRule="exact"/>
        <w:ind w:left="110"/>
        <w:jc w:val="both"/>
      </w:pPr>
      <w:r>
        <w:rPr/>
        <w:t>4.851.329</w:t>
      </w:r>
      <w:r>
        <w:rPr>
          <w:spacing w:val="75"/>
        </w:rPr>
        <w:t> </w:t>
      </w:r>
      <w:r>
        <w:rPr/>
        <w:t>ovvero</w:t>
      </w:r>
      <w:r>
        <w:rPr>
          <w:spacing w:val="75"/>
        </w:rPr>
        <w:t> </w:t>
      </w:r>
      <w:r>
        <w:rPr/>
        <w:t>+9,20%).</w:t>
      </w:r>
      <w:r>
        <w:rPr>
          <w:spacing w:val="75"/>
        </w:rPr>
        <w:t> </w:t>
      </w:r>
      <w:r>
        <w:rPr/>
        <w:t>La</w:t>
      </w:r>
      <w:r>
        <w:rPr>
          <w:spacing w:val="75"/>
        </w:rPr>
        <w:t> </w:t>
      </w:r>
      <w:r>
        <w:rPr/>
        <w:t>voce</w:t>
      </w:r>
      <w:r>
        <w:rPr>
          <w:spacing w:val="75"/>
        </w:rPr>
        <w:t> </w:t>
      </w:r>
      <w:r>
        <w:rPr/>
        <w:t>di</w:t>
      </w:r>
      <w:r>
        <w:rPr>
          <w:spacing w:val="75"/>
        </w:rPr>
        <w:t> </w:t>
      </w:r>
      <w:r>
        <w:rPr/>
        <w:t>costo</w:t>
      </w:r>
      <w:r>
        <w:rPr>
          <w:spacing w:val="75"/>
        </w:rPr>
        <w:t> </w:t>
      </w:r>
      <w:r>
        <w:rPr/>
        <w:t>che</w:t>
      </w:r>
      <w:r>
        <w:rPr>
          <w:spacing w:val="75"/>
        </w:rPr>
        <w:t> </w:t>
      </w:r>
      <w:r>
        <w:rPr/>
        <w:t>incide</w:t>
      </w:r>
      <w:r>
        <w:rPr>
          <w:spacing w:val="75"/>
        </w:rPr>
        <w:t> </w:t>
      </w:r>
      <w:r>
        <w:rPr/>
        <w:t>maggiormente</w:t>
      </w:r>
      <w:r>
        <w:rPr>
          <w:spacing w:val="60"/>
        </w:rPr>
        <w:t> </w:t>
      </w:r>
      <w:r>
        <w:rPr/>
        <w:t>sul</w:t>
      </w:r>
      <w:r>
        <w:rPr>
          <w:spacing w:val="60"/>
        </w:rPr>
        <w:t> </w:t>
      </w:r>
      <w:r>
        <w:rPr/>
        <w:t>bilancio</w:t>
      </w:r>
      <w:r>
        <w:rPr>
          <w:spacing w:val="60"/>
        </w:rPr>
        <w:t> </w:t>
      </w:r>
      <w:r>
        <w:rPr/>
        <w:t>dell’Istituto</w:t>
      </w:r>
      <w:r>
        <w:rPr>
          <w:spacing w:val="60"/>
        </w:rPr>
        <w:t> </w:t>
      </w:r>
      <w:r>
        <w:rPr/>
        <w:t>è</w:t>
      </w:r>
    </w:p>
    <w:p>
      <w:pPr>
        <w:pStyle w:val="BodyText"/>
        <w:spacing w:before="54"/>
        <w:ind w:left="110"/>
        <w:jc w:val="both"/>
      </w:pPr>
      <w:r>
        <w:rPr/>
        <w:t>sicuramente rappresentata dalla spesa per farmaci che si attesta ad € 82.129.573.</w:t>
      </w:r>
    </w:p>
    <w:p>
      <w:pPr>
        <w:spacing w:after="0"/>
        <w:jc w:val="both"/>
        <w:sectPr>
          <w:footerReference w:type="default" r:id="rId5"/>
          <w:type w:val="continuous"/>
          <w:pgSz w:w="11920" w:h="16840"/>
          <w:pgMar w:footer="614" w:top="640" w:bottom="800" w:left="740" w:right="660"/>
          <w:pgNumType w:start="1"/>
        </w:sectPr>
      </w:pPr>
    </w:p>
    <w:p>
      <w:pPr>
        <w:tabs>
          <w:tab w:pos="8331" w:val="left" w:leader="none"/>
        </w:tabs>
        <w:spacing w:line="240" w:lineRule="auto"/>
        <w:ind w:left="318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88" w:lineRule="auto" w:before="230"/>
        <w:ind w:left="110" w:right="211"/>
        <w:jc w:val="both"/>
      </w:pPr>
      <w:r>
        <w:rPr/>
        <w:pict>
          <v:group style="position:absolute;margin-left:33.550003pt;margin-top:-128.116806pt;width:520.4500pt;height:648.3pt;mso-position-horizontal-relative:page;mso-position-vertical-relative:paragraph;z-index:-15770112" coordorigin="671,-2562" coordsize="10409,12966">
            <v:shape style="position:absolute;left:671;top:-2563;width:2040;height:2535" type="#_x0000_t75" stroked="false">
              <v:imagedata r:id="rId6" o:title=""/>
            </v:shape>
            <v:shape style="position:absolute;left:859;top:-97;width:10220;height:10500" coordorigin="860,-96" coordsize="10220,10500" path="m11080,-96l860,-96,860,224,860,264,860,10404,11080,10404,11080,224,11080,-96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L’incremento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valore</w:t>
      </w:r>
      <w:r>
        <w:rPr>
          <w:spacing w:val="1"/>
        </w:rPr>
        <w:t> </w:t>
      </w:r>
      <w:r>
        <w:rPr/>
        <w:t>dell’attività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ricovero</w:t>
      </w:r>
      <w:r>
        <w:rPr>
          <w:spacing w:val="1"/>
        </w:rPr>
        <w:t> </w:t>
      </w:r>
      <w:r>
        <w:rPr/>
        <w:t>(+3.548.512</w:t>
      </w:r>
      <w:r>
        <w:rPr>
          <w:spacing w:val="1"/>
        </w:rPr>
        <w:t> </w:t>
      </w:r>
      <w:r>
        <w:rPr/>
        <w:t>€</w:t>
      </w:r>
      <w:r>
        <w:rPr>
          <w:spacing w:val="1"/>
        </w:rPr>
        <w:t> </w:t>
      </w:r>
      <w:r>
        <w:rPr/>
        <w:t>ovvero</w:t>
      </w:r>
      <w:r>
        <w:rPr>
          <w:spacing w:val="1"/>
        </w:rPr>
        <w:t> </w:t>
      </w:r>
      <w:r>
        <w:rPr/>
        <w:t>+12,84%),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specialistica</w:t>
      </w:r>
      <w:r>
        <w:rPr>
          <w:spacing w:val="1"/>
        </w:rPr>
        <w:t> </w:t>
      </w:r>
      <w:r>
        <w:rPr/>
        <w:t>(+4.320.020 € ovvero +8,01%) e di somministrazione di farmaci chemioterapici (+8.794.710, +17,77%).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88" w:lineRule="auto"/>
        <w:ind w:left="110" w:right="207"/>
        <w:jc w:val="both"/>
      </w:pPr>
      <w:r>
        <w:rPr/>
        <w:t>Il Direttore Amministrativo dott. Francesco Favretti afferma che “i buoni risultati ottenuti nell’esercizio</w:t>
      </w:r>
      <w:r>
        <w:rPr>
          <w:spacing w:val="1"/>
        </w:rPr>
        <w:t> </w:t>
      </w:r>
      <w:r>
        <w:rPr/>
        <w:t>2022 sono frutto dell’attenzione dedicata al mantenimento dei livelli di produttività ed al conseguente</w:t>
      </w:r>
      <w:r>
        <w:rPr>
          <w:spacing w:val="1"/>
        </w:rPr>
        <w:t> </w:t>
      </w:r>
      <w:r>
        <w:rPr/>
        <w:t>equilibrio di bilancio. Ciononostante, al fine di salvaguardare tali risultati anche nei prossimi esercizi,</w:t>
      </w:r>
      <w:r>
        <w:rPr>
          <w:spacing w:val="1"/>
        </w:rPr>
        <w:t> </w:t>
      </w:r>
      <w:r>
        <w:rPr/>
        <w:t>considerato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contesto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inflazione,</w:t>
      </w:r>
      <w:r>
        <w:rPr>
          <w:spacing w:val="1"/>
        </w:rPr>
        <w:t> </w:t>
      </w:r>
      <w:r>
        <w:rPr/>
        <w:t>crescente</w:t>
      </w:r>
      <w:r>
        <w:rPr>
          <w:spacing w:val="1"/>
        </w:rPr>
        <w:t> </w:t>
      </w:r>
      <w:r>
        <w:rPr/>
        <w:t>domanda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prestazioni</w:t>
      </w:r>
      <w:r>
        <w:rPr>
          <w:spacing w:val="1"/>
        </w:rPr>
        <w:t> </w:t>
      </w:r>
      <w:r>
        <w:rPr/>
        <w:t>sanitarie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necessità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internalizzare</w:t>
      </w:r>
      <w:r>
        <w:rPr>
          <w:spacing w:val="1"/>
        </w:rPr>
        <w:t> </w:t>
      </w:r>
      <w:r>
        <w:rPr/>
        <w:t>funzioni</w:t>
      </w:r>
      <w:r>
        <w:rPr>
          <w:spacing w:val="1"/>
        </w:rPr>
        <w:t> </w:t>
      </w:r>
      <w:r>
        <w:rPr/>
        <w:t>attualmente</w:t>
      </w:r>
      <w:r>
        <w:rPr>
          <w:spacing w:val="1"/>
        </w:rPr>
        <w:t> </w:t>
      </w:r>
      <w:r>
        <w:rPr/>
        <w:t>svolte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interaziendalità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altri</w:t>
      </w:r>
      <w:r>
        <w:rPr>
          <w:spacing w:val="1"/>
        </w:rPr>
        <w:t> </w:t>
      </w:r>
      <w:r>
        <w:rPr/>
        <w:t>enti,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IOV-IRCCS</w:t>
      </w:r>
      <w:r>
        <w:rPr>
          <w:spacing w:val="1"/>
        </w:rPr>
        <w:t> </w:t>
      </w:r>
      <w:r>
        <w:rPr/>
        <w:t>dovrà</w:t>
      </w:r>
      <w:r>
        <w:rPr>
          <w:spacing w:val="1"/>
        </w:rPr>
        <w:t> </w:t>
      </w:r>
      <w:r>
        <w:rPr/>
        <w:t>massimizzare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sforzi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mettere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strumento</w:t>
      </w:r>
      <w:r>
        <w:rPr>
          <w:spacing w:val="1"/>
        </w:rPr>
        <w:t> </w:t>
      </w:r>
      <w:r>
        <w:rPr/>
        <w:t>utile</w:t>
      </w:r>
      <w:r>
        <w:rPr>
          <w:spacing w:val="1"/>
        </w:rPr>
        <w:t> </w:t>
      </w:r>
      <w:r>
        <w:rPr/>
        <w:t>all’ulteriore</w:t>
      </w:r>
      <w:r>
        <w:rPr>
          <w:spacing w:val="1"/>
        </w:rPr>
        <w:t> </w:t>
      </w:r>
      <w:r>
        <w:rPr/>
        <w:t>miglioramento</w:t>
      </w:r>
      <w:r>
        <w:rPr>
          <w:spacing w:val="1"/>
        </w:rPr>
        <w:t> </w:t>
      </w:r>
      <w:r>
        <w:rPr/>
        <w:t>dell’</w:t>
      </w:r>
      <w:r>
        <w:rPr>
          <w:spacing w:val="-57"/>
        </w:rPr>
        <w:t> </w:t>
      </w:r>
      <w:r>
        <w:rPr/>
        <w:t>efficienza</w:t>
      </w:r>
      <w:r>
        <w:rPr>
          <w:spacing w:val="-1"/>
        </w:rPr>
        <w:t> </w:t>
      </w:r>
      <w:r>
        <w:rPr/>
        <w:t>produttiva, sempre naturalmente</w:t>
      </w:r>
      <w:r>
        <w:rPr>
          <w:spacing w:val="-1"/>
        </w:rPr>
        <w:t> </w:t>
      </w:r>
      <w:r>
        <w:rPr/>
        <w:t>salvaguardando i</w:t>
      </w:r>
      <w:r>
        <w:rPr>
          <w:spacing w:val="-1"/>
        </w:rPr>
        <w:t> </w:t>
      </w:r>
      <w:r>
        <w:rPr/>
        <w:t>livelli qualitativi dell’assistenza</w:t>
      </w:r>
      <w:r>
        <w:rPr>
          <w:spacing w:val="-1"/>
        </w:rPr>
        <w:t> </w:t>
      </w:r>
      <w:r>
        <w:rPr/>
        <w:t>erogata”.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88" w:lineRule="auto"/>
        <w:ind w:left="110" w:right="204"/>
        <w:jc w:val="both"/>
      </w:pPr>
      <w:r>
        <w:rPr>
          <w:b/>
        </w:rPr>
        <w:t>I DATI DI ATTIVITA’. </w:t>
      </w:r>
      <w:r>
        <w:rPr/>
        <w:t>Crescita continua e consolidata per lo IOV - IRCCS pubblico monotematico</w:t>
      </w:r>
      <w:r>
        <w:rPr>
          <w:spacing w:val="1"/>
        </w:rPr>
        <w:t> </w:t>
      </w:r>
      <w:r>
        <w:rPr/>
        <w:t>Oncologico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Veneto,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conferma</w:t>
      </w:r>
      <w:r>
        <w:rPr>
          <w:spacing w:val="1"/>
        </w:rPr>
        <w:t> </w:t>
      </w:r>
      <w:r>
        <w:rPr/>
        <w:t>il suo ruolo di Hub. È un bilancio che rende particolarmente</w:t>
      </w:r>
      <w:r>
        <w:rPr>
          <w:spacing w:val="1"/>
        </w:rPr>
        <w:t> </w:t>
      </w:r>
      <w:r>
        <w:rPr/>
        <w:t>orgogliosi quello relativo al 2022: lo IOV incrementa i segni &amp;quot;+&amp;quot;, crescendo in volumi di</w:t>
      </w:r>
      <w:r>
        <w:rPr>
          <w:spacing w:val="1"/>
        </w:rPr>
        <w:t> </w:t>
      </w:r>
      <w:r>
        <w:rPr/>
        <w:t>attività, pazienti assistiti e progetti di ricerca. Oltre 115.000 le persone che hanno ricevuto oltre 1 milione</w:t>
      </w:r>
      <w:r>
        <w:rPr>
          <w:spacing w:val="1"/>
        </w:rPr>
        <w:t> </w:t>
      </w:r>
      <w:r>
        <w:rPr/>
        <w:t>di prestazioni ambulatoriali, comprese quelle di laboratorio; 8.272 i ricoveri ospedalieri (+9% rispetto al</w:t>
      </w:r>
      <w:r>
        <w:rPr>
          <w:spacing w:val="1"/>
        </w:rPr>
        <w:t> </w:t>
      </w:r>
      <w:r>
        <w:rPr/>
        <w:t>2021 e +21% rispetto al 2019) con +13% di interventi chirurgici rispetto al 2021 e addirittura +30%</w:t>
      </w:r>
      <w:r>
        <w:rPr>
          <w:spacing w:val="1"/>
        </w:rPr>
        <w:t> </w:t>
      </w:r>
      <w:r>
        <w:rPr/>
        <w:t>rispetto al 2019. Raddoppiate le operazioni di chirurgia robotica, che sfiorano il mezzo migliaio, eseguiti</w:t>
      </w:r>
      <w:r>
        <w:rPr>
          <w:spacing w:val="1"/>
        </w:rPr>
        <w:t> </w:t>
      </w:r>
      <w:r>
        <w:rPr/>
        <w:t>nella</w:t>
      </w:r>
      <w:r>
        <w:rPr>
          <w:spacing w:val="-2"/>
        </w:rPr>
        <w:t> </w:t>
      </w:r>
      <w:r>
        <w:rPr/>
        <w:t>sede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Castelfranco</w:t>
      </w:r>
      <w:r>
        <w:rPr>
          <w:spacing w:val="-2"/>
        </w:rPr>
        <w:t> </w:t>
      </w:r>
      <w:r>
        <w:rPr/>
        <w:t>Veneto.</w:t>
      </w:r>
      <w:r>
        <w:rPr>
          <w:spacing w:val="-2"/>
        </w:rPr>
        <w:t> </w:t>
      </w:r>
      <w:r>
        <w:rPr/>
        <w:t>Più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8.100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persone</w:t>
      </w:r>
      <w:r>
        <w:rPr>
          <w:spacing w:val="-2"/>
        </w:rPr>
        <w:t> </w:t>
      </w:r>
      <w:r>
        <w:rPr/>
        <w:t>trattate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chemio</w:t>
      </w:r>
      <w:r>
        <w:rPr>
          <w:spacing w:val="-2"/>
        </w:rPr>
        <w:t> </w:t>
      </w:r>
      <w:r>
        <w:rPr/>
        <w:t>e/o</w:t>
      </w:r>
      <w:r>
        <w:rPr>
          <w:spacing w:val="-2"/>
        </w:rPr>
        <w:t> </w:t>
      </w:r>
      <w:r>
        <w:rPr/>
        <w:t>radioterapia.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notevole</w:t>
      </w:r>
      <w:r>
        <w:rPr>
          <w:spacing w:val="-58"/>
        </w:rPr>
        <w:t> </w:t>
      </w:r>
      <w:r>
        <w:rPr/>
        <w:t>espansione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sede</w:t>
      </w:r>
      <w:r>
        <w:rPr>
          <w:spacing w:val="27"/>
        </w:rPr>
        <w:t> </w:t>
      </w:r>
      <w:r>
        <w:rPr/>
        <w:t>IOV</w:t>
      </w:r>
      <w:r>
        <w:rPr>
          <w:spacing w:val="28"/>
        </w:rPr>
        <w:t> </w:t>
      </w:r>
      <w:r>
        <w:rPr/>
        <w:t>di</w:t>
      </w:r>
      <w:r>
        <w:rPr>
          <w:spacing w:val="27"/>
        </w:rPr>
        <w:t> </w:t>
      </w:r>
      <w:r>
        <w:rPr/>
        <w:t>Castelfranco</w:t>
      </w:r>
      <w:r>
        <w:rPr>
          <w:spacing w:val="27"/>
        </w:rPr>
        <w:t> </w:t>
      </w:r>
      <w:r>
        <w:rPr/>
        <w:t>Veneto</w:t>
      </w:r>
      <w:r>
        <w:rPr>
          <w:spacing w:val="28"/>
        </w:rPr>
        <w:t> </w:t>
      </w:r>
      <w:r>
        <w:rPr/>
        <w:t>con</w:t>
      </w:r>
      <w:r>
        <w:rPr>
          <w:spacing w:val="27"/>
        </w:rPr>
        <w:t> </w:t>
      </w:r>
      <w:r>
        <w:rPr/>
        <w:t>un</w:t>
      </w:r>
      <w:r>
        <w:rPr>
          <w:spacing w:val="13"/>
        </w:rPr>
        <w:t> </w:t>
      </w:r>
      <w:r>
        <w:rPr/>
        <w:t>importante</w:t>
      </w:r>
      <w:r>
        <w:rPr>
          <w:spacing w:val="13"/>
        </w:rPr>
        <w:t> </w:t>
      </w:r>
      <w:r>
        <w:rPr/>
        <w:t>crescita</w:t>
      </w:r>
      <w:r>
        <w:rPr>
          <w:spacing w:val="12"/>
        </w:rPr>
        <w:t> </w:t>
      </w:r>
      <w:r>
        <w:rPr/>
        <w:t>dei</w:t>
      </w:r>
      <w:r>
        <w:rPr>
          <w:spacing w:val="13"/>
        </w:rPr>
        <w:t> </w:t>
      </w:r>
      <w:r>
        <w:rPr/>
        <w:t>ricoveri</w:t>
      </w:r>
      <w:r>
        <w:rPr>
          <w:spacing w:val="13"/>
        </w:rPr>
        <w:t> </w:t>
      </w:r>
      <w:r>
        <w:rPr/>
        <w:t>(+21%</w:t>
      </w:r>
      <w:r>
        <w:rPr>
          <w:spacing w:val="13"/>
        </w:rPr>
        <w:t> </w:t>
      </w:r>
      <w:r>
        <w:rPr/>
        <w:t>vs</w:t>
      </w:r>
      <w:r>
        <w:rPr>
          <w:spacing w:val="12"/>
        </w:rPr>
        <w:t> </w:t>
      </w:r>
      <w:r>
        <w:rPr/>
        <w:t>2021,</w:t>
      </w:r>
    </w:p>
    <w:p>
      <w:pPr>
        <w:pStyle w:val="BodyText"/>
        <w:spacing w:line="288" w:lineRule="auto"/>
        <w:ind w:left="110" w:right="205"/>
        <w:jc w:val="both"/>
      </w:pPr>
      <w:r>
        <w:rPr/>
        <w:t>+72% vs 2019) e degli interventi chirurgici (rispettivamente +24% e +75%). Ricerca sempre in primo</w:t>
      </w:r>
      <w:r>
        <w:rPr>
          <w:spacing w:val="1"/>
        </w:rPr>
        <w:t> </w:t>
      </w:r>
      <w:r>
        <w:rPr/>
        <w:t>piano, con molteplici filoni di studio attivi, con lo IOV che si conferma ai primi posti a livello nazionale</w:t>
      </w:r>
      <w:r>
        <w:rPr>
          <w:spacing w:val="1"/>
        </w:rPr>
        <w:t> </w:t>
      </w:r>
      <w:r>
        <w:rPr/>
        <w:t>per attività e riconoscimenti per la ricerca corrente. Ammontano a 55 milioni i finanziamenti effettuati o</w:t>
      </w:r>
      <w:r>
        <w:rPr>
          <w:spacing w:val="1"/>
        </w:rPr>
        <w:t> </w:t>
      </w:r>
      <w:r>
        <w:rPr/>
        <w:t>pianificati nel 2022 per un miglioramento continuo in edilizia e tecnologia.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88" w:lineRule="auto"/>
        <w:ind w:left="110" w:right="206"/>
        <w:jc w:val="both"/>
      </w:pPr>
      <w:r>
        <w:rPr/>
        <w:t>E visto che lo IOV - IRCCS non è finanziato in quota capitaria, ben si capisce quanto sia fondamentale la</w:t>
      </w:r>
      <w:r>
        <w:rPr>
          <w:spacing w:val="1"/>
        </w:rPr>
        <w:t> </w:t>
      </w:r>
      <w:r>
        <w:rPr/>
        <w:t>generosità della persone che lo sostengono: tramite il 5 per 1000 sono stati assegnati ben 2,8 milioni di</w:t>
      </w:r>
      <w:r>
        <w:rPr>
          <w:spacing w:val="1"/>
        </w:rPr>
        <w:t> </w:t>
      </w:r>
      <w:r>
        <w:rPr/>
        <w:t>donazioni, facendo salire lo IOV al 18esimo posto tra gli Enti sanitari più amati d’Italia, il primo nel</w:t>
      </w:r>
      <w:r>
        <w:rPr>
          <w:spacing w:val="1"/>
        </w:rPr>
        <w:t> </w:t>
      </w:r>
      <w:r>
        <w:rPr/>
        <w:t>Veneto.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409" w:right="501" w:firstLine="0"/>
        <w:jc w:val="center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stampa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IOV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IRCCS</w:t>
      </w:r>
      <w:r>
        <w:rPr>
          <w:b/>
          <w:spacing w:val="-1"/>
          <w:sz w:val="24"/>
        </w:rPr>
        <w:t> </w:t>
      </w:r>
      <w:hyperlink r:id="rId9">
        <w:r>
          <w:rPr>
            <w:b/>
            <w:color w:val="1154CC"/>
            <w:sz w:val="24"/>
            <w:u w:val="thick" w:color="1154CC"/>
          </w:rPr>
          <w:t>ufficio.stampa@iov.veneto.it</w:t>
        </w:r>
      </w:hyperlink>
      <w:r>
        <w:rPr>
          <w:b/>
          <w:color w:val="1154CC"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+39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338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5866778</w:t>
      </w:r>
    </w:p>
    <w:sectPr>
      <w:pgSz w:w="11920" w:h="16840"/>
      <w:pgMar w:header="0" w:footer="614" w:top="640" w:bottom="800" w:left="7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5856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409" w:right="501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2023-05-05T10:51:04Z</dcterms:created>
  <dcterms:modified xsi:type="dcterms:W3CDTF">2023-05-05T10:51:04Z</dcterms:modified>
</cp:coreProperties>
</file>