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9"/>
        <w:ind w:left="68" w:right="295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line="223" w:lineRule="auto"/>
      </w:pPr>
      <w:r>
        <w:rPr/>
        <w:t>IOV E PICCOLI PUNTI, “AMICI PER LA PELLE”</w:t>
      </w:r>
      <w:r>
        <w:rPr>
          <w:spacing w:val="-102"/>
        </w:rPr>
        <w:t> </w:t>
      </w:r>
      <w:r>
        <w:rPr/>
        <w:t>CONTRO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MELANOMA</w:t>
      </w:r>
      <w:r>
        <w:rPr>
          <w:spacing w:val="-1"/>
        </w:rPr>
        <w:t> </w:t>
      </w:r>
      <w:r>
        <w:rPr/>
        <w:t>CUTANEO</w:t>
      </w:r>
    </w:p>
    <w:p>
      <w:pPr>
        <w:pStyle w:val="BodyText"/>
        <w:rPr>
          <w:b/>
          <w:sz w:val="41"/>
        </w:rPr>
      </w:pPr>
    </w:p>
    <w:p>
      <w:pPr>
        <w:pStyle w:val="Heading1"/>
        <w:spacing w:line="256" w:lineRule="auto"/>
        <w:ind w:right="295"/>
      </w:pPr>
      <w:r>
        <w:rPr/>
        <w:t>Consegnato</w:t>
      </w:r>
      <w:r>
        <w:rPr>
          <w:spacing w:val="-7"/>
        </w:rPr>
        <w:t> </w:t>
      </w:r>
      <w:r>
        <w:rPr/>
        <w:t>dall’associazione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assegno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20mila</w:t>
      </w:r>
      <w:r>
        <w:rPr>
          <w:spacing w:val="-6"/>
        </w:rPr>
        <w:t> </w:t>
      </w:r>
      <w:r>
        <w:rPr/>
        <w:t>euro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finanzierà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borsa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studio</w:t>
      </w:r>
      <w:r>
        <w:rPr>
          <w:spacing w:val="1"/>
        </w:rPr>
        <w:t> </w:t>
      </w:r>
      <w:r>
        <w:rPr/>
        <w:t>per la predizione del rischio di sviluppare la patologia che conta ogni anno a livello</w:t>
      </w:r>
      <w:r>
        <w:rPr>
          <w:spacing w:val="1"/>
        </w:rPr>
        <w:t> </w:t>
      </w:r>
      <w:r>
        <w:rPr/>
        <w:t>mondiale</w:t>
      </w:r>
      <w:r>
        <w:rPr>
          <w:spacing w:val="-2"/>
        </w:rPr>
        <w:t> </w:t>
      </w:r>
      <w:r>
        <w:rPr/>
        <w:t>160mila</w:t>
      </w:r>
      <w:r>
        <w:rPr>
          <w:spacing w:val="-2"/>
        </w:rPr>
        <w:t> </w:t>
      </w:r>
      <w:r>
        <w:rPr/>
        <w:t>diagnosi,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62mila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Europa.</w:t>
      </w:r>
    </w:p>
    <w:p>
      <w:pPr>
        <w:spacing w:line="252" w:lineRule="auto" w:before="0"/>
        <w:ind w:left="338" w:right="430" w:firstLine="0"/>
        <w:jc w:val="center"/>
        <w:rPr>
          <w:b/>
          <w:sz w:val="26"/>
        </w:rPr>
      </w:pPr>
      <w:r>
        <w:rPr>
          <w:b/>
          <w:sz w:val="26"/>
        </w:rPr>
        <w:t>A dicembre scorso la stessa associazione aveva donato un’apparecchiatura che consente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l’estrazione automatica di acidi nucleici a partire da campioni biologici. Il macchinario,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valore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circa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30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mila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euro,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viene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utilizzato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quotidianamente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analisi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genetiche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pazienti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melanoma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soggetti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rischio.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Benini: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“Grande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riconoscenza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una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collaborazione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prosegue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anni”.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54" w:lineRule="auto" w:before="179"/>
        <w:ind w:left="110" w:right="203"/>
        <w:jc w:val="both"/>
      </w:pPr>
      <w:r>
        <w:rPr/>
        <w:t>Padova, 31 luglio 2023. L'estate, le vacanze, il sole… e i rischi collegati ad una eccessiva</w:t>
      </w:r>
      <w:r>
        <w:rPr>
          <w:spacing w:val="1"/>
        </w:rPr>
        <w:t> </w:t>
      </w:r>
      <w:r>
        <w:rPr/>
        <w:t>esposizione ai raggi UV. Per riuscire a rendere sempre più prevenibile e curabile il melanoma - il</w:t>
      </w:r>
      <w:r>
        <w:rPr>
          <w:spacing w:val="1"/>
        </w:rPr>
        <w:t> </w:t>
      </w:r>
      <w:r>
        <w:rPr/>
        <w:t>più aggressivo dei tumori cutanei, derivante dalla trasformazione maligna dei melanociti, cioè le</w:t>
      </w:r>
      <w:r>
        <w:rPr>
          <w:spacing w:val="1"/>
        </w:rPr>
        <w:t> </w:t>
      </w:r>
      <w:r>
        <w:rPr/>
        <w:t>cellule che determinano il colore della pelle – è fondamentale investire in ricerca scientifica. Per</w:t>
      </w:r>
      <w:r>
        <w:rPr>
          <w:spacing w:val="1"/>
        </w:rPr>
        <w:t> </w:t>
      </w:r>
      <w:r>
        <w:rPr/>
        <w:t>contribuire ad accrescere le conoscenze (secondo l’Agenzia Internazionale per la Ricerca sul</w:t>
      </w:r>
      <w:r>
        <w:rPr>
          <w:spacing w:val="1"/>
        </w:rPr>
        <w:t> </w:t>
      </w:r>
      <w:r>
        <w:rPr/>
        <w:t>Cancro ogni anno vi sono 160.000 nuove diagnosi di melanoma della pelle, di cui 62.000 solo in</w:t>
      </w:r>
      <w:r>
        <w:rPr>
          <w:spacing w:val="1"/>
        </w:rPr>
        <w:t> </w:t>
      </w:r>
      <w:r>
        <w:rPr/>
        <w:t>Europa), l’Associazione Piccoli Punti ETS ha consegnato stamattina un assegno da 20mila euro</w:t>
      </w:r>
      <w:r>
        <w:rPr>
          <w:spacing w:val="1"/>
        </w:rPr>
        <w:t> </w:t>
      </w:r>
      <w:r>
        <w:rPr/>
        <w:t>all’Istituto</w:t>
      </w:r>
      <w:r>
        <w:rPr>
          <w:spacing w:val="1"/>
        </w:rPr>
        <w:t> </w:t>
      </w:r>
      <w:r>
        <w:rPr/>
        <w:t>Oncologico</w:t>
      </w:r>
      <w:r>
        <w:rPr>
          <w:spacing w:val="65"/>
        </w:rPr>
        <w:t> </w:t>
      </w:r>
      <w:r>
        <w:rPr/>
        <w:t>Veneto - IRCCS, donazione utile a finanziare una borsa di studio che</w:t>
      </w:r>
      <w:r>
        <w:rPr>
          <w:spacing w:val="1"/>
        </w:rPr>
        <w:t> </w:t>
      </w:r>
      <w:r>
        <w:rPr/>
        <w:t>andrà ad indagare il ruolo del “polygenic risk score” nel melanoma multiplo cutaneo ovvero il</w:t>
      </w:r>
      <w:r>
        <w:rPr>
          <w:spacing w:val="1"/>
        </w:rPr>
        <w:t> </w:t>
      </w:r>
      <w:r>
        <w:rPr/>
        <w:t>punteggio di rischio poligenico, per una predizione altamente accurata del rischio di sviluppare la</w:t>
      </w:r>
      <w:r>
        <w:rPr>
          <w:spacing w:val="1"/>
        </w:rPr>
        <w:t> </w:t>
      </w:r>
      <w:r>
        <w:rPr/>
        <w:t>patologia.</w:t>
      </w:r>
    </w:p>
    <w:p>
      <w:pPr>
        <w:pStyle w:val="BodyText"/>
        <w:spacing w:line="254" w:lineRule="auto" w:before="189"/>
        <w:ind w:left="110" w:right="203"/>
        <w:jc w:val="both"/>
      </w:pPr>
      <w:r>
        <w:rPr/>
        <w:t>Alla</w:t>
      </w:r>
      <w:r>
        <w:rPr>
          <w:spacing w:val="1"/>
        </w:rPr>
        <w:t> </w:t>
      </w:r>
      <w:r>
        <w:rPr/>
        <w:t>consegna</w:t>
      </w:r>
      <w:r>
        <w:rPr>
          <w:spacing w:val="1"/>
        </w:rPr>
        <w:t> </w:t>
      </w:r>
      <w:r>
        <w:rPr/>
        <w:t>dell'assegno</w:t>
      </w:r>
      <w:r>
        <w:rPr>
          <w:spacing w:val="1"/>
        </w:rPr>
        <w:t> </w:t>
      </w:r>
      <w:r>
        <w:rPr/>
        <w:t>erano</w:t>
      </w:r>
      <w:r>
        <w:rPr>
          <w:spacing w:val="65"/>
        </w:rPr>
        <w:t> </w:t>
      </w:r>
      <w:r>
        <w:rPr/>
        <w:t>presenti il direttore generale dello IOV – IRCCS Patrizia</w:t>
      </w:r>
      <w:r>
        <w:rPr>
          <w:spacing w:val="1"/>
        </w:rPr>
        <w:t> </w:t>
      </w:r>
      <w:r>
        <w:rPr/>
        <w:t>Benini, il presidente dell’Associazione Piccoli Punti ETS Paolo Castorina, la dottoressa Debora</w:t>
      </w:r>
      <w:r>
        <w:rPr>
          <w:spacing w:val="1"/>
        </w:rPr>
        <w:t> </w:t>
      </w:r>
      <w:r>
        <w:rPr/>
        <w:t>Tonello che usufruirà della borsa di studio della durata di un anno, la dottoressa Chiara Menin,</w:t>
      </w:r>
      <w:r>
        <w:rPr>
          <w:spacing w:val="1"/>
        </w:rPr>
        <w:t> </w:t>
      </w:r>
      <w:r>
        <w:rPr/>
        <w:t>responsabile del laboratorio di Genetica del Melanoma dell’UOC Immunologia e Diagnostica</w:t>
      </w:r>
      <w:r>
        <w:rPr>
          <w:spacing w:val="1"/>
        </w:rPr>
        <w:t> </w:t>
      </w:r>
      <w:r>
        <w:rPr/>
        <w:t>Molecolare</w:t>
      </w:r>
      <w:r>
        <w:rPr>
          <w:spacing w:val="1"/>
        </w:rPr>
        <w:t> </w:t>
      </w:r>
      <w:r>
        <w:rPr/>
        <w:t>Oncologica</w:t>
      </w:r>
      <w:r>
        <w:rPr>
          <w:spacing w:val="1"/>
        </w:rPr>
        <w:t> </w:t>
      </w:r>
      <w:r>
        <w:rPr/>
        <w:t>(IDMO),</w:t>
      </w:r>
      <w:r>
        <w:rPr>
          <w:spacing w:val="1"/>
        </w:rPr>
        <w:t> </w:t>
      </w:r>
      <w:r>
        <w:rPr/>
        <w:t>diretta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Antonio</w:t>
      </w:r>
      <w:r>
        <w:rPr>
          <w:spacing w:val="1"/>
        </w:rPr>
        <w:t> </w:t>
      </w:r>
      <w:r>
        <w:rPr/>
        <w:t>Rosato,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effettua</w:t>
      </w:r>
      <w:r>
        <w:rPr>
          <w:spacing w:val="1"/>
        </w:rPr>
        <w:t> </w:t>
      </w:r>
      <w:r>
        <w:rPr/>
        <w:t>analisi</w:t>
      </w:r>
      <w:r>
        <w:rPr>
          <w:spacing w:val="1"/>
        </w:rPr>
        <w:t> </w:t>
      </w:r>
      <w:r>
        <w:rPr/>
        <w:t>diagnostiche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conduce</w:t>
      </w:r>
      <w:r>
        <w:rPr>
          <w:spacing w:val="-2"/>
        </w:rPr>
        <w:t> </w:t>
      </w:r>
      <w:r>
        <w:rPr/>
        <w:t>progetti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ricerca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approcci</w:t>
      </w:r>
      <w:r>
        <w:rPr>
          <w:spacing w:val="-2"/>
        </w:rPr>
        <w:t> </w:t>
      </w:r>
      <w:r>
        <w:rPr/>
        <w:t>diagnostici</w:t>
      </w:r>
      <w:r>
        <w:rPr>
          <w:spacing w:val="-2"/>
        </w:rPr>
        <w:t> </w:t>
      </w:r>
      <w:r>
        <w:rPr/>
        <w:t>innovativi.</w:t>
      </w:r>
    </w:p>
    <w:p>
      <w:pPr>
        <w:spacing w:after="0" w:line="254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660"/>
          <w:pgNumType w:start="1"/>
        </w:sectPr>
      </w:pPr>
    </w:p>
    <w:p>
      <w:pPr>
        <w:tabs>
          <w:tab w:pos="8331" w:val="left" w:leader="none"/>
        </w:tabs>
        <w:spacing w:line="240" w:lineRule="auto"/>
        <w:ind w:left="31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54" w:lineRule="auto" w:before="89"/>
        <w:ind w:left="110" w:right="204"/>
        <w:jc w:val="both"/>
      </w:pPr>
      <w:r>
        <w:rPr/>
        <w:pict>
          <v:group style="position:absolute;margin-left:33.550003pt;margin-top:-128.693176pt;width:520.4500pt;height:543.3pt;mso-position-horizontal-relative:page;mso-position-vertical-relative:paragraph;z-index:-15776256" coordorigin="671,-2574" coordsize="10409,10866">
            <v:shape style="position:absolute;left:671;top:-2574;width:2040;height:2535" type="#_x0000_t75" stroked="false">
              <v:imagedata r:id="rId11" o:title=""/>
            </v:shape>
            <v:shape style="position:absolute;left:850;top:-108;width:10229;height:8400" coordorigin="851,-108" coordsize="10229,8400" path="m11080,-108l860,-108,860,407,851,407,851,719,860,719,860,722,851,722,851,1034,860,1034,860,1072,860,2507,851,2507,851,2819,860,2819,860,2822,851,2822,851,3134,860,3134,860,3172,860,3452,860,3472,860,3767,851,3767,851,4079,860,4079,860,4082,851,4082,851,4394,860,4394,860,4432,860,4712,860,4732,860,5027,851,5027,851,5339,860,5339,860,5352,860,5372,860,5867,851,5867,851,6179,860,6179,860,6182,851,6182,851,6494,860,6494,860,6532,860,6812,860,6832,860,7127,851,7127,851,7439,860,7439,860,7442,851,7442,851,7754,860,7754,860,7792,860,8292,11080,8292,11080,7792,11080,7752,11080,412,11080,-10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“Non posso che esprimere grande riconoscenza all’Associazione Piccoli Punti ETS per questa</w:t>
      </w:r>
      <w:r>
        <w:rPr>
          <w:spacing w:val="1"/>
        </w:rPr>
        <w:t> </w:t>
      </w:r>
      <w:r>
        <w:rPr/>
        <w:t>donazione,</w:t>
      </w:r>
      <w:r>
        <w:rPr>
          <w:spacing w:val="1"/>
        </w:rPr>
        <w:t> </w:t>
      </w:r>
      <w:r>
        <w:rPr/>
        <w:t>ulteriore</w:t>
      </w:r>
      <w:r>
        <w:rPr>
          <w:spacing w:val="1"/>
        </w:rPr>
        <w:t> </w:t>
      </w:r>
      <w:r>
        <w:rPr/>
        <w:t>segno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prosegue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entusiasmo</w:t>
      </w:r>
      <w:r>
        <w:rPr>
          <w:spacing w:val="65"/>
        </w:rPr>
        <w:t> </w:t>
      </w:r>
      <w:r>
        <w:rPr/>
        <w:t>e spirito di</w:t>
      </w:r>
      <w:r>
        <w:rPr>
          <w:spacing w:val="1"/>
        </w:rPr>
        <w:t> </w:t>
      </w:r>
      <w:r>
        <w:rPr/>
        <w:t>squadra da anni – ha sottolineato il dg Patrizia Benini – in un connubio pubblico/privato che, oltre</w:t>
      </w:r>
      <w:r>
        <w:rPr>
          <w:spacing w:val="-62"/>
        </w:rPr>
        <w:t> </w:t>
      </w:r>
      <w:r>
        <w:rPr/>
        <w:t>a un meraviglioso esempio, ci auguriamo dia anche meravigliosi frutti, a favore della ricerca</w:t>
      </w:r>
      <w:r>
        <w:rPr>
          <w:spacing w:val="1"/>
        </w:rPr>
        <w:t> </w:t>
      </w:r>
      <w:r>
        <w:rPr/>
        <w:t>scientifica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tutto</w:t>
      </w:r>
      <w:r>
        <w:rPr>
          <w:spacing w:val="-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pazienti”.</w:t>
      </w:r>
    </w:p>
    <w:p>
      <w:pPr>
        <w:pStyle w:val="BodyText"/>
        <w:spacing w:line="254" w:lineRule="auto" w:before="201"/>
        <w:ind w:left="110" w:right="203"/>
        <w:jc w:val="both"/>
      </w:pPr>
      <w:r>
        <w:rPr/>
        <w:t>“Come presidente dell’Associazione Piccoli Punti ETS sono particolarmente orgoglioso di questo</w:t>
      </w:r>
      <w:r>
        <w:rPr>
          <w:spacing w:val="-62"/>
        </w:rPr>
        <w:t> </w:t>
      </w:r>
      <w:r>
        <w:rPr/>
        <w:t>risultato – ha dichiarato Paolo Castorina -, frutto del lavoro di oltre un anno, della fruttuosa</w:t>
      </w:r>
      <w:r>
        <w:rPr>
          <w:spacing w:val="1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nostra</w:t>
      </w:r>
      <w:r>
        <w:rPr>
          <w:spacing w:val="1"/>
        </w:rPr>
        <w:t> </w:t>
      </w:r>
      <w:r>
        <w:rPr/>
        <w:t>associazione e lo IOV e del supporto di enti quali Fondazione</w:t>
      </w:r>
      <w:r>
        <w:rPr>
          <w:spacing w:val="1"/>
        </w:rPr>
        <w:t> </w:t>
      </w:r>
      <w:r>
        <w:rPr/>
        <w:t>Panciera, Unicredit e Banca d'Italia, che hanno creduto nel progetto e hanno deciso di sostenere</w:t>
      </w:r>
      <w:r>
        <w:rPr>
          <w:spacing w:val="1"/>
        </w:rPr>
        <w:t> </w:t>
      </w:r>
      <w:r>
        <w:rPr/>
        <w:t>insieme a noi anche una borsa di studio che consentirà di supportare la ricerca sui fattori genetici</w:t>
      </w:r>
      <w:r>
        <w:rPr>
          <w:spacing w:val="1"/>
        </w:rPr>
        <w:t> </w:t>
      </w:r>
      <w:r>
        <w:rPr/>
        <w:t>che possono predisporre allo sviluppo di ripetute diagnosi di melanoma nel corso della vita di un</w:t>
      </w:r>
      <w:r>
        <w:rPr>
          <w:spacing w:val="1"/>
        </w:rPr>
        <w:t> </w:t>
      </w:r>
      <w:r>
        <w:rPr/>
        <w:t>paziente.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ricerca,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svolta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Veneto,</w:t>
      </w:r>
      <w:r>
        <w:rPr>
          <w:spacing w:val="1"/>
        </w:rPr>
        <w:t> </w:t>
      </w:r>
      <w:r>
        <w:rPr/>
        <w:t>permetterà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identificare i soggetti ad alto rischio di melanoma cutaneo multiplo sui quali successivamente</w:t>
      </w:r>
      <w:r>
        <w:rPr>
          <w:spacing w:val="1"/>
        </w:rPr>
        <w:t> </w:t>
      </w:r>
      <w:r>
        <w:rPr/>
        <w:t>intensificare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adottare</w:t>
      </w:r>
      <w:r>
        <w:rPr>
          <w:spacing w:val="1"/>
        </w:rPr>
        <w:t> </w:t>
      </w:r>
      <w:r>
        <w:rPr/>
        <w:t>specifici</w:t>
      </w:r>
      <w:r>
        <w:rPr>
          <w:spacing w:val="1"/>
        </w:rPr>
        <w:t> </w:t>
      </w:r>
      <w:r>
        <w:rPr/>
        <w:t>protocolli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sorveglianza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una</w:t>
      </w:r>
      <w:r>
        <w:rPr>
          <w:spacing w:val="65"/>
        </w:rPr>
        <w:t> </w:t>
      </w:r>
      <w:r>
        <w:rPr/>
        <w:t>migliore</w:t>
      </w:r>
      <w:r>
        <w:rPr>
          <w:spacing w:val="1"/>
        </w:rPr>
        <w:t> </w:t>
      </w:r>
      <w:r>
        <w:rPr/>
        <w:t>prevenzione primaria e secondaria, due aspetti che sono da sempre fondamentali per la nostra</w:t>
      </w:r>
      <w:r>
        <w:rPr>
          <w:spacing w:val="1"/>
        </w:rPr>
        <w:t> </w:t>
      </w:r>
      <w:r>
        <w:rPr/>
        <w:t>Associazione”.</w:t>
      </w:r>
    </w:p>
    <w:p>
      <w:pPr>
        <w:pStyle w:val="BodyText"/>
        <w:spacing w:line="254" w:lineRule="auto" w:before="189"/>
        <w:ind w:left="110" w:right="204"/>
        <w:jc w:val="both"/>
      </w:pPr>
      <w:r>
        <w:rPr/>
        <w:t>“Numerosi studi hanno dimostrato che il rischio di sviluppare un melanoma, tumore maligno che</w:t>
      </w:r>
      <w:r>
        <w:rPr>
          <w:spacing w:val="1"/>
        </w:rPr>
        <w:t> </w:t>
      </w:r>
      <w:r>
        <w:rPr/>
        <w:t>origina dalle cellule della pelle responsabili della produzione della melanina (melanociti), può</w:t>
      </w:r>
      <w:r>
        <w:rPr>
          <w:spacing w:val="1"/>
        </w:rPr>
        <w:t> </w:t>
      </w:r>
      <w:r>
        <w:rPr/>
        <w:t>essere in stretta correlazione con il proprio corredo genetico. Infatti, la suscettibilità al melanoma</w:t>
      </w:r>
      <w:r>
        <w:rPr>
          <w:spacing w:val="1"/>
        </w:rPr>
        <w:t> </w:t>
      </w:r>
      <w:r>
        <w:rPr/>
        <w:t>segue un modello poligenico in cui più tratti (geni) del nostro DNA sono coinvolti. Fare ricerca</w:t>
      </w:r>
      <w:r>
        <w:rPr>
          <w:spacing w:val="1"/>
        </w:rPr>
        <w:t> </w:t>
      </w:r>
      <w:r>
        <w:rPr/>
        <w:t>sul melanoma – ha dichiarato la dottoressa Menin - significa concentrarsi sul sequenziamento di</w:t>
      </w:r>
      <w:r>
        <w:rPr>
          <w:spacing w:val="1"/>
        </w:rPr>
        <w:t> </w:t>
      </w:r>
      <w:r>
        <w:rPr/>
        <w:t>DNA e RNA per arrivare a dati che aiutino a individuare i soggetti a rischio di ammalarsi</w:t>
      </w:r>
      <w:r>
        <w:rPr>
          <w:spacing w:val="1"/>
        </w:rPr>
        <w:t> </w:t>
      </w:r>
      <w:r>
        <w:rPr/>
        <w:t>garantendo</w:t>
      </w:r>
      <w:r>
        <w:rPr>
          <w:spacing w:val="-2"/>
        </w:rPr>
        <w:t> </w:t>
      </w:r>
      <w:r>
        <w:rPr/>
        <w:t>protocolli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sorveglianza</w:t>
      </w:r>
      <w:r>
        <w:rPr>
          <w:spacing w:val="-2"/>
        </w:rPr>
        <w:t> </w:t>
      </w:r>
      <w:r>
        <w:rPr/>
        <w:t>sanitaria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follow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mirati”.</w:t>
      </w:r>
    </w:p>
    <w:p>
      <w:pPr>
        <w:pStyle w:val="BodyText"/>
        <w:spacing w:line="254" w:lineRule="auto" w:before="196"/>
        <w:ind w:left="110" w:right="205"/>
        <w:jc w:val="both"/>
      </w:pPr>
      <w:r>
        <w:rPr/>
        <w:t>Per</w:t>
      </w:r>
      <w:r>
        <w:rPr>
          <w:spacing w:val="1"/>
        </w:rPr>
        <w:t> </w:t>
      </w:r>
      <w:r>
        <w:rPr/>
        <w:t>questo tipo di ricerche, il Laboratorio di Genetica del Melanoma dell’IDMO, lo scorso</w:t>
      </w:r>
      <w:r>
        <w:rPr>
          <w:spacing w:val="1"/>
        </w:rPr>
        <w:t> </w:t>
      </w:r>
      <w:r>
        <w:rPr/>
        <w:t>dicembre ha ricevuto sempre dall’associazione Piccoli Punti ETS uno strumento che consente</w:t>
      </w:r>
      <w:r>
        <w:rPr>
          <w:spacing w:val="1"/>
        </w:rPr>
        <w:t> </w:t>
      </w:r>
      <w:r>
        <w:rPr/>
        <w:t>l’estrazione automatica di acidi nucleici a partire da campioni biologici. Il macchinario, del valore</w:t>
      </w:r>
      <w:r>
        <w:rPr>
          <w:spacing w:val="-62"/>
        </w:rPr>
        <w:t> </w:t>
      </w:r>
      <w:r>
        <w:rPr/>
        <w:t>di</w:t>
      </w:r>
      <w:r>
        <w:rPr>
          <w:spacing w:val="1"/>
        </w:rPr>
        <w:t> </w:t>
      </w:r>
      <w:r>
        <w:rPr/>
        <w:t>circa</w:t>
      </w:r>
      <w:r>
        <w:rPr>
          <w:spacing w:val="1"/>
        </w:rPr>
        <w:t> </w:t>
      </w:r>
      <w:r>
        <w:rPr/>
        <w:t>30mila</w:t>
      </w:r>
      <w:r>
        <w:rPr>
          <w:spacing w:val="1"/>
        </w:rPr>
        <w:t> </w:t>
      </w:r>
      <w:r>
        <w:rPr/>
        <w:t>euro,</w:t>
      </w:r>
      <w:r>
        <w:rPr>
          <w:spacing w:val="65"/>
        </w:rPr>
        <w:t> </w:t>
      </w:r>
      <w:r>
        <w:rPr/>
        <w:t>viene utilizzato quotidianamente per analisi genetiche da campioni di</w:t>
      </w:r>
      <w:r>
        <w:rPr>
          <w:spacing w:val="1"/>
        </w:rPr>
        <w:t> </w:t>
      </w:r>
      <w:r>
        <w:rPr/>
        <w:t>sangue o tessuto da pazienti con melanoma o soggetti a rischio, all’interno del progetto di ricerca</w:t>
      </w:r>
      <w:r>
        <w:rPr>
          <w:spacing w:val="1"/>
        </w:rPr>
        <w:t> </w:t>
      </w:r>
      <w:r>
        <w:rPr/>
        <w:t>“Fattori</w:t>
      </w:r>
      <w:r>
        <w:rPr>
          <w:spacing w:val="1"/>
        </w:rPr>
        <w:t> </w:t>
      </w:r>
      <w:r>
        <w:rPr/>
        <w:t>genetici</w:t>
      </w:r>
      <w:r>
        <w:rPr>
          <w:spacing w:val="1"/>
        </w:rPr>
        <w:t> </w:t>
      </w:r>
      <w:r>
        <w:rPr/>
        <w:t>predisponenti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melanoma</w:t>
      </w:r>
      <w:r>
        <w:rPr>
          <w:spacing w:val="1"/>
        </w:rPr>
        <w:t> </w:t>
      </w:r>
      <w:r>
        <w:rPr/>
        <w:t>cutaneo</w:t>
      </w:r>
      <w:r>
        <w:rPr>
          <w:spacing w:val="1"/>
        </w:rPr>
        <w:t> </w:t>
      </w:r>
      <w:r>
        <w:rPr/>
        <w:t>multiplo”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ambito</w:t>
      </w:r>
      <w:r>
        <w:rPr>
          <w:spacing w:val="1"/>
        </w:rPr>
        <w:t> </w:t>
      </w:r>
      <w:r>
        <w:rPr/>
        <w:t>diagnostico per l’ambulatorio dedicato al Melanoma Familiare. In questi mesi il macchinario ha</w:t>
      </w:r>
      <w:r>
        <w:rPr>
          <w:spacing w:val="1"/>
        </w:rPr>
        <w:t> </w:t>
      </w:r>
      <w:r>
        <w:rPr/>
        <w:t>processato in tutto, anche per altre neoplasie, circa 500 campioni che sono stati poi sottoposti a</w:t>
      </w:r>
      <w:r>
        <w:rPr>
          <w:spacing w:val="1"/>
        </w:rPr>
        <w:t> </w:t>
      </w:r>
      <w:r>
        <w:rPr/>
        <w:t>test genetici: i pazienti risultati geneticamente predisposti, sono stati indirizzati a percorsi di</w:t>
      </w:r>
      <w:r>
        <w:rPr>
          <w:spacing w:val="1"/>
        </w:rPr>
        <w:t> </w:t>
      </w:r>
      <w:r>
        <w:rPr/>
        <w:t>sorveglianza</w:t>
      </w:r>
      <w:r>
        <w:rPr>
          <w:spacing w:val="-4"/>
        </w:rPr>
        <w:t> </w:t>
      </w:r>
      <w:r>
        <w:rPr/>
        <w:t>dedicati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consigliati</w:t>
      </w:r>
      <w:r>
        <w:rPr>
          <w:spacing w:val="-3"/>
        </w:rPr>
        <w:t> </w:t>
      </w:r>
      <w:r>
        <w:rPr/>
        <w:t>riguardo</w:t>
      </w:r>
      <w:r>
        <w:rPr>
          <w:spacing w:val="-3"/>
        </w:rPr>
        <w:t> </w:t>
      </w:r>
      <w:r>
        <w:rPr/>
        <w:t>l'estensione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specifico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familiari.</w:t>
      </w:r>
    </w:p>
    <w:p>
      <w:pPr>
        <w:spacing w:after="0" w:line="254" w:lineRule="auto"/>
        <w:jc w:val="both"/>
        <w:sectPr>
          <w:headerReference w:type="default" r:id="rId7"/>
          <w:footerReference w:type="default" r:id="rId8"/>
          <w:pgSz w:w="11920" w:h="16840"/>
          <w:pgMar w:header="0" w:footer="614" w:top="640" w:bottom="800" w:left="7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89"/>
        <w:ind w:left="974"/>
        <w:jc w:val="left"/>
      </w:pPr>
      <w:r>
        <w:rPr/>
        <w:t>Ufficio</w:t>
      </w:r>
      <w:r>
        <w:rPr>
          <w:spacing w:val="-8"/>
        </w:rPr>
        <w:t> </w:t>
      </w:r>
      <w:r>
        <w:rPr/>
        <w:t>stampa</w:t>
      </w:r>
      <w:r>
        <w:rPr>
          <w:spacing w:val="-8"/>
        </w:rPr>
        <w:t> </w:t>
      </w:r>
      <w:r>
        <w:rPr/>
        <w:t>IOV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IRCCS</w:t>
      </w:r>
      <w:r>
        <w:rPr>
          <w:spacing w:val="-7"/>
        </w:rPr>
        <w:t> </w:t>
      </w:r>
      <w:hyperlink r:id="rId14">
        <w:r>
          <w:rPr>
            <w:color w:val="1154CC"/>
            <w:u w:val="thick" w:color="1154CC"/>
          </w:rPr>
          <w:t>ufficio.stampa@iov.veneto.it</w:t>
        </w:r>
        <w:r>
          <w:rPr>
            <w:color w:val="1154CC"/>
            <w:spacing w:val="-8"/>
          </w:rPr>
          <w:t> </w:t>
        </w:r>
      </w:hyperlink>
      <w:r>
        <w:rPr/>
        <w:t>-</w:t>
      </w:r>
      <w:r>
        <w:rPr>
          <w:spacing w:val="-7"/>
        </w:rPr>
        <w:t> </w:t>
      </w:r>
      <w:r>
        <w:rPr/>
        <w:t>+39</w:t>
      </w:r>
      <w:r>
        <w:rPr>
          <w:spacing w:val="-8"/>
        </w:rPr>
        <w:t> </w:t>
      </w:r>
      <w:r>
        <w:rPr/>
        <w:t>338</w:t>
      </w:r>
      <w:r>
        <w:rPr>
          <w:spacing w:val="-8"/>
        </w:rPr>
        <w:t> </w:t>
      </w:r>
      <w:r>
        <w:rPr/>
        <w:t>5866778</w:t>
      </w:r>
    </w:p>
    <w:sectPr>
      <w:headerReference w:type="default" r:id="rId12"/>
      <w:footerReference w:type="default" r:id="rId13"/>
      <w:pgSz w:w="11920" w:h="16840"/>
      <w:pgMar w:header="634" w:footer="614" w:top="3160" w:bottom="80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1292859</wp:posOffset>
          </wp:positionH>
          <wp:positionV relativeFrom="page">
            <wp:posOffset>10176234</wp:posOffset>
          </wp:positionV>
          <wp:extent cx="4552950" cy="318052"/>
          <wp:effectExtent l="0" t="0" r="0" b="0"/>
          <wp:wrapNone/>
          <wp:docPr id="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1292859</wp:posOffset>
          </wp:positionH>
          <wp:positionV relativeFrom="page">
            <wp:posOffset>10176234</wp:posOffset>
          </wp:positionV>
          <wp:extent cx="4552950" cy="318052"/>
          <wp:effectExtent l="0" t="0" r="0" b="0"/>
          <wp:wrapNone/>
          <wp:docPr id="2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800"/>
          <wp:effectExtent l="0" t="0" r="0" b="0"/>
          <wp:wrapNone/>
          <wp:docPr id="1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3808">
          <wp:simplePos x="0" y="0"/>
          <wp:positionH relativeFrom="page">
            <wp:posOffset>2493009</wp:posOffset>
          </wp:positionH>
          <wp:positionV relativeFrom="page">
            <wp:posOffset>536684</wp:posOffset>
          </wp:positionV>
          <wp:extent cx="2571749" cy="912743"/>
          <wp:effectExtent l="0" t="0" r="0" b="0"/>
          <wp:wrapNone/>
          <wp:docPr id="1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03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202" w:right="295"/>
      <w:jc w:val="center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2.jpeg"/><Relationship Id="rId11" Type="http://schemas.openxmlformats.org/officeDocument/2006/relationships/image" Target="media/image1.jpe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2023-07-31T11:57:02Z</dcterms:created>
  <dcterms:modified xsi:type="dcterms:W3CDTF">2023-07-31T11:57:02Z</dcterms:modified>
</cp:coreProperties>
</file>