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Usare carta intestata della ditta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FARMACO</w:t>
        <w:tab/>
        <w:tab/>
      </w:r>
      <w:bookmarkStart w:colFirst="0" w:colLast="0" w:name="bookmark=id.30j0zll" w:id="0"/>
      <w:bookmarkEnd w:id="0"/>
      <w:bookmarkStart w:colFirst="0" w:colLast="0" w:name="bookmark=id.gjdgxs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          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PROTOCOLLO</w:t>
        <w:tab/>
      </w:r>
      <w:bookmarkStart w:colFirst="0" w:colLast="0" w:name="bookmark=id.2et92p0" w:id="3"/>
      <w:bookmarkEnd w:id="3"/>
      <w:bookmarkStart w:colFirst="0" w:colLast="0" w:name="bookmark=id.3znysh7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          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DITTA</w:t>
        <w:tab/>
        <w:tab/>
      </w:r>
      <w:bookmarkStart w:colFirst="0" w:colLast="0" w:name="bookmark=id.3dy6vkm" w:id="6"/>
      <w:bookmarkEnd w:id="6"/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bookmarkStart w:colFirst="0" w:colLast="0" w:name="bookmark=id.4d34og8" w:id="8"/>
      <w:bookmarkEnd w:id="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          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sottoscritto </w:t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            legale rappresentante della ditta </w:t>
      </w:r>
      <w:bookmarkStart w:colFirst="0" w:colLast="0" w:name="bookmark=id.26in1rg" w:id="12"/>
      <w:bookmarkEnd w:id="12"/>
      <w:bookmarkStart w:colFirst="0" w:colLast="0" w:name="bookmark=id.lnxbz9" w:id="13"/>
      <w:bookmarkEnd w:id="1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bookmarkStart w:colFirst="0" w:colLast="0" w:name="bookmark=id.35nkun2" w:id="14"/>
      <w:bookmarkEnd w:id="1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            dichiaro che il farmaco                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del farmaco)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verrà fornito gratuitamente oltre il periodo di osservazione, ai singoli pazienti che continuino ad averne beneficio. Tale condizione di fornitura cessa solo se il medicinale è reso disponibile a carico del Servizio Sanitario Nazionale (SSN) per la stessa indicazione d'uso e comunque non prima che l'Ente abbia avuto il tempo di approvvigionarsene, esclusi gli eventuali vincoli normativi imposti dall'Autorità competente.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Layout w:type="fixed"/>
        <w:tblLook w:val="0000"/>
      </w:tblPr>
      <w:tblGrid>
        <w:gridCol w:w="3047"/>
        <w:gridCol w:w="6731"/>
        <w:tblGridChange w:id="0">
          <w:tblGrid>
            <w:gridCol w:w="3047"/>
            <w:gridCol w:w="673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jxsxqh" w:id="16"/>
          <w:bookmarkEnd w:id="16"/>
          <w:bookmarkStart w:colFirst="0" w:colLast="0" w:name="bookmark=id.44sinio" w:id="17"/>
          <w:bookmarkEnd w:id="17"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in stampatello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Mod02-I_FAR_IO03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16/10/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2023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rarb8uuFuqZn0PREmTeO4hohg==">CgMxLjAyCmlkLjMwajB6bGwyCWlkLmdqZGd4czIKaWQuMWZvYjl0ZTIKaWQuMmV0OTJwMDIKaWQuM3pueXNoNzIJaWQudHlqY3d0MgppZC4zZHk2dmttMgppZC4xdDNoNXNmMgppZC40ZDM0b2c4MgppZC4yczhleW8xMgppZC4xN2RwOHZ1MgppZC4zcmRjcmpuMgppZC4yNmluMXJnMglpZC5sbnhiejkyCmlkLjM1bmt1bjIyCmlkLjFrc3Y0dXYyCmlkLjJqeHN4cWgyCmlkLjQ0c2luaW84AHIhMUdVeWk0dkVLdWMzUUh4QzVCaWhRYjRUdzhpZVZxdX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2022-05-30T09:49:00Z</dcterms:created>
  <dc:creator>SSIO</dc:creator>
</cp:coreProperties>
</file>