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22B" w:rsidRDefault="009E622B" w:rsidP="0011467A">
      <w:pPr>
        <w:jc w:val="center"/>
        <w:rPr>
          <w:b/>
          <w:sz w:val="40"/>
          <w:szCs w:val="40"/>
        </w:rPr>
      </w:pPr>
      <w:r w:rsidRPr="0011467A">
        <w:rPr>
          <w:b/>
          <w:sz w:val="40"/>
          <w:szCs w:val="40"/>
        </w:rPr>
        <w:t>L’Istituto Oncologico Veneto</w:t>
      </w:r>
      <w:r w:rsidR="00C84870">
        <w:rPr>
          <w:b/>
          <w:sz w:val="40"/>
          <w:szCs w:val="40"/>
        </w:rPr>
        <w:t xml:space="preserve"> - IRCCS</w:t>
      </w:r>
    </w:p>
    <w:p w:rsidR="0011467A" w:rsidRPr="00156EE5" w:rsidRDefault="0011467A" w:rsidP="0011467A">
      <w:pPr>
        <w:jc w:val="center"/>
        <w:rPr>
          <w:b/>
          <w:sz w:val="16"/>
          <w:szCs w:val="16"/>
        </w:rPr>
      </w:pPr>
    </w:p>
    <w:p w:rsidR="00A9790F" w:rsidRDefault="00A9790F" w:rsidP="00156EE5">
      <w:pPr>
        <w:jc w:val="both"/>
      </w:pPr>
      <w:r>
        <w:t xml:space="preserve">L’Istituto Oncologico Veneto </w:t>
      </w:r>
      <w:r w:rsidR="00C26CEC">
        <w:t>IOV-IRCCS</w:t>
      </w:r>
      <w:r>
        <w:t xml:space="preserve"> è il primo e unico Istituto del Veneto destinato in maniera specifica alla ricerca sul cancro e alla prevenzione, diagnosi e cura dei tumori.</w:t>
      </w:r>
      <w:r w:rsidR="009E622B">
        <w:t xml:space="preserve"> H</w:t>
      </w:r>
      <w:r w:rsidR="009E622B" w:rsidRPr="009E622B">
        <w:t xml:space="preserve">a sede a Padova all’Ospedale Busonera. </w:t>
      </w:r>
      <w:r w:rsidR="00AD3C63" w:rsidRPr="009E622B">
        <w:t xml:space="preserve">Direzione Scientifica, Direzione Amministrativa e </w:t>
      </w:r>
      <w:r w:rsidR="00911025">
        <w:t>relativi</w:t>
      </w:r>
      <w:r w:rsidR="00AD3C63" w:rsidRPr="009E622B">
        <w:t xml:space="preserve"> servizi di staff </w:t>
      </w:r>
      <w:r w:rsidR="00AD3C63">
        <w:t xml:space="preserve">si trovano </w:t>
      </w:r>
      <w:r w:rsidR="00911025">
        <w:t>in piazza Gaetano Salvemini 13</w:t>
      </w:r>
      <w:r w:rsidR="009E622B" w:rsidRPr="009E622B">
        <w:t xml:space="preserve">. Le prestazioni di radioterapia sono erogate sia a Padova (Edificio Radioterapia, nell’area dell’Azienda ospedaliera) sia </w:t>
      </w:r>
      <w:r w:rsidR="00AD3C63">
        <w:t>a</w:t>
      </w:r>
      <w:r w:rsidR="009E622B" w:rsidRPr="009E622B">
        <w:t xml:space="preserve">gli Ospedali Riuniti Padova Sud di Schiavonia (Monselice). Un’ulteriore sede dello IOV è situata </w:t>
      </w:r>
      <w:r w:rsidR="00AD3C63">
        <w:t>al</w:t>
      </w:r>
      <w:r w:rsidR="009E622B" w:rsidRPr="009E622B">
        <w:t>l’Ospedale San Giacomo di Castelfranco Veneto (TV).</w:t>
      </w:r>
      <w:r w:rsidR="00BF02AD">
        <w:t xml:space="preserve"> </w:t>
      </w:r>
      <w:r w:rsidR="00BF02AD" w:rsidRPr="00BF02AD">
        <w:t xml:space="preserve">I laboratori dedicati alla ricerca sono dislocati nell’area dell’Ospedale Busonera e </w:t>
      </w:r>
      <w:r w:rsidR="00AD3C63">
        <w:t>nell</w:t>
      </w:r>
      <w:r w:rsidR="00BF02AD" w:rsidRPr="00BF02AD">
        <w:t>a Torre della ricerca della Fondazione Città della speranza.</w:t>
      </w:r>
    </w:p>
    <w:p w:rsidR="00C84870" w:rsidRDefault="00A9790F" w:rsidP="00156EE5">
      <w:pPr>
        <w:jc w:val="both"/>
      </w:pPr>
      <w:r>
        <w:t xml:space="preserve">Voluto dalla Regione nel 2005, lo </w:t>
      </w:r>
      <w:r w:rsidR="00C26CEC" w:rsidRPr="00C26CEC">
        <w:t>IOV-IRCCS</w:t>
      </w:r>
      <w:r>
        <w:t xml:space="preserve"> si è affermato come centro di ricerca sanitaria e ospedale di alta specializzazione di rilievo nazionale e internazionale. È riconosciuto dal Ministero della Salute come Istituto di Ricovero e Cura a Carattere Scientifico (IRCCS) e dalla Organization of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Institutes</w:t>
      </w:r>
      <w:proofErr w:type="spellEnd"/>
      <w:r>
        <w:t xml:space="preserve"> (OECI) come </w:t>
      </w:r>
      <w:r w:rsidR="009E622B">
        <w:t>“</w:t>
      </w:r>
      <w:r>
        <w:t xml:space="preserve">Comprehensive </w:t>
      </w:r>
      <w:proofErr w:type="spellStart"/>
      <w:r>
        <w:t>Cancer</w:t>
      </w:r>
      <w:proofErr w:type="spellEnd"/>
      <w:r>
        <w:t xml:space="preserve"> Centre</w:t>
      </w:r>
      <w:r w:rsidR="009E622B">
        <w:t>”</w:t>
      </w:r>
      <w:r>
        <w:t>; è membro di Alleanza Contro il Cancro (ACC), la più grande organizzazione italiana di ricerca oncologica clinica e traslazionale</w:t>
      </w:r>
      <w:r w:rsidR="00C05D8B">
        <w:t xml:space="preserve">, e </w:t>
      </w:r>
      <w:r w:rsidR="00C05D8B" w:rsidRPr="00C05D8B">
        <w:t>della Rete europea per i tumori rari dell’adulto EURACAN</w:t>
      </w:r>
      <w:r w:rsidR="00C84870">
        <w:t xml:space="preserve">; </w:t>
      </w:r>
      <w:r w:rsidR="00C84870" w:rsidRPr="00C84870">
        <w:t>è Centro regionale di riferimento per la chirurgia delle malattie dell’esofago (neoplasia dell’esofago e della giunzione esofago-gastrica) e per il melanoma cutaneo e il sarcoma dei tessuti molli.</w:t>
      </w:r>
      <w:r w:rsidR="009E622B">
        <w:t xml:space="preserve"> </w:t>
      </w:r>
    </w:p>
    <w:p w:rsidR="00D83513" w:rsidRDefault="009E622B" w:rsidP="00156EE5">
      <w:pPr>
        <w:jc w:val="both"/>
      </w:pPr>
      <w:r w:rsidRPr="009E622B">
        <w:t xml:space="preserve">Lo </w:t>
      </w:r>
      <w:r w:rsidR="00C26CEC" w:rsidRPr="00C26CEC">
        <w:t>IOV-IRCCS</w:t>
      </w:r>
      <w:r w:rsidRPr="009E622B">
        <w:t xml:space="preserve"> è dotato di un Sistema di Gestione per la Qualità (</w:t>
      </w:r>
      <w:r w:rsidR="00D83513">
        <w:t xml:space="preserve">SGQ) certificato ISO 9001-2015 </w:t>
      </w:r>
      <w:r w:rsidRPr="009E622B">
        <w:t>per le sedi di Padova</w:t>
      </w:r>
      <w:r w:rsidR="0064544F">
        <w:t xml:space="preserve"> e Schiavonia</w:t>
      </w:r>
      <w:r w:rsidR="00D83513">
        <w:t xml:space="preserve"> </w:t>
      </w:r>
      <w:r w:rsidR="00D83513" w:rsidRPr="00D83513">
        <w:t>e, dal 2022, progressivamente per le unità operative con sede a Castelfranco Veneto.</w:t>
      </w:r>
    </w:p>
    <w:p w:rsidR="0064544F" w:rsidRDefault="00A9790F" w:rsidP="00156EE5">
      <w:pPr>
        <w:jc w:val="both"/>
      </w:pPr>
      <w:r>
        <w:t xml:space="preserve">La ricerca scientifica integrata all’assistenza è la caratteristica che differenzia in maniera sostanziale lo </w:t>
      </w:r>
      <w:r w:rsidR="00C26CEC" w:rsidRPr="00C26CEC">
        <w:t>IOV-IRCCS</w:t>
      </w:r>
      <w:r>
        <w:t xml:space="preserve"> dalle aziende sanitarie prive della qualifica di IRCCS. L’Istituto, oltre a essere soggetto al sistema dei controlli della Regione Veneto, è sottoposto, da parte del Ministero della Salute, a verifica </w:t>
      </w:r>
      <w:r w:rsidR="00D83513">
        <w:t>periodica</w:t>
      </w:r>
      <w:r>
        <w:t xml:space="preserve"> per la conferma del riconoscimento del carattere scientifico nella disciplina dell’oncologia e a verifica annuale dei prodotti della ricerca scientifica, alla quale è legata l’erogazione del finanziamento per le attività di Ricerca Corrente</w:t>
      </w:r>
      <w:r w:rsidR="0064544F">
        <w:t>, che nel 20</w:t>
      </w:r>
      <w:r w:rsidR="00AD3C63">
        <w:t>2</w:t>
      </w:r>
      <w:r w:rsidR="00D83513">
        <w:t>2</w:t>
      </w:r>
      <w:r w:rsidR="0064544F">
        <w:t xml:space="preserve"> è stato pari a </w:t>
      </w:r>
      <w:r w:rsidR="00D83513">
        <w:rPr>
          <w:bCs/>
        </w:rPr>
        <w:t>5.033.323,71</w:t>
      </w:r>
      <w:r w:rsidR="00AD3C63">
        <w:rPr>
          <w:bCs/>
        </w:rPr>
        <w:t xml:space="preserve"> </w:t>
      </w:r>
      <w:r w:rsidR="0064544F">
        <w:rPr>
          <w:bCs/>
        </w:rPr>
        <w:t>euro</w:t>
      </w:r>
      <w:r w:rsidR="0064544F" w:rsidRPr="009E622B">
        <w:t xml:space="preserve">. </w:t>
      </w:r>
      <w:r w:rsidR="00D83513">
        <w:t xml:space="preserve">Nello stesso anno sono giunti altri finanziamenti ministeriali per 3.691.071,39 euro e da privati per 7.345.349,53 euro. </w:t>
      </w:r>
      <w:r w:rsidR="0064544F" w:rsidRPr="009E622B">
        <w:t>Di notevole impatto</w:t>
      </w:r>
      <w:r w:rsidR="0064544F">
        <w:t xml:space="preserve"> per il sostegno alla ricerca</w:t>
      </w:r>
      <w:r w:rsidR="0064544F" w:rsidRPr="009E622B">
        <w:t xml:space="preserve"> risulta</w:t>
      </w:r>
      <w:r w:rsidR="00D83513">
        <w:t>, infine,</w:t>
      </w:r>
      <w:r w:rsidR="0064544F" w:rsidRPr="009E622B">
        <w:t xml:space="preserve"> il 5 per mille</w:t>
      </w:r>
      <w:r w:rsidR="0064544F">
        <w:t>: n</w:t>
      </w:r>
      <w:r w:rsidR="0064544F" w:rsidRPr="009E622B">
        <w:t>e</w:t>
      </w:r>
      <w:r w:rsidR="00D83513">
        <w:t>l</w:t>
      </w:r>
      <w:r w:rsidR="0064544F" w:rsidRPr="009E622B">
        <w:t>l</w:t>
      </w:r>
      <w:r w:rsidR="00D83513">
        <w:t>’anno fiscale</w:t>
      </w:r>
      <w:r w:rsidR="0064544F" w:rsidRPr="009E622B">
        <w:t xml:space="preserve"> 20</w:t>
      </w:r>
      <w:r w:rsidR="00AD3C63">
        <w:t>2</w:t>
      </w:r>
      <w:r w:rsidR="00D83513">
        <w:t>2</w:t>
      </w:r>
      <w:r w:rsidR="0064544F" w:rsidRPr="009E622B">
        <w:t xml:space="preserve"> </w:t>
      </w:r>
      <w:r w:rsidR="0064544F">
        <w:t xml:space="preserve">lo </w:t>
      </w:r>
      <w:r w:rsidR="00C26CEC" w:rsidRPr="00C26CEC">
        <w:t>IOV-IRCCS</w:t>
      </w:r>
      <w:r w:rsidR="0064544F">
        <w:t xml:space="preserve"> è stato indicato da </w:t>
      </w:r>
      <w:r w:rsidR="00AD3C63">
        <w:t>5</w:t>
      </w:r>
      <w:r w:rsidR="00D83513">
        <w:t>8</w:t>
      </w:r>
      <w:r w:rsidR="00AD3C63">
        <w:t>.</w:t>
      </w:r>
      <w:r w:rsidR="00D83513">
        <w:t>743</w:t>
      </w:r>
      <w:r w:rsidR="0064544F">
        <w:t xml:space="preserve"> contribuenti, per un totale di </w:t>
      </w:r>
      <w:r w:rsidR="00D83513">
        <w:t>3</w:t>
      </w:r>
      <w:r w:rsidR="00AD3C63">
        <w:t>.</w:t>
      </w:r>
      <w:r w:rsidR="00D83513">
        <w:t>067</w:t>
      </w:r>
      <w:r w:rsidR="00AD3C63">
        <w:t>.</w:t>
      </w:r>
      <w:r w:rsidR="00D83513">
        <w:t>624</w:t>
      </w:r>
      <w:r w:rsidR="00AD3C63">
        <w:t>,</w:t>
      </w:r>
      <w:r w:rsidR="00D83513">
        <w:t>50</w:t>
      </w:r>
      <w:r w:rsidR="0064544F">
        <w:t xml:space="preserve"> euro.</w:t>
      </w:r>
    </w:p>
    <w:p w:rsidR="00A9790F" w:rsidRDefault="00A9790F" w:rsidP="00156EE5">
      <w:pPr>
        <w:jc w:val="both"/>
      </w:pPr>
      <w:r>
        <w:t xml:space="preserve">L’integrazione di ricerca e assistenza garantisce l’erogazione di prestazioni di diagnosi e cura secondo standard di eccellenza, sia in regime di ricovero ordinario, di </w:t>
      </w:r>
      <w:proofErr w:type="spellStart"/>
      <w:r>
        <w:t>day</w:t>
      </w:r>
      <w:proofErr w:type="spellEnd"/>
      <w:r>
        <w:t xml:space="preserve"> hospital e di </w:t>
      </w:r>
      <w:proofErr w:type="spellStart"/>
      <w:r>
        <w:t>day</w:t>
      </w:r>
      <w:proofErr w:type="spellEnd"/>
      <w:r>
        <w:t xml:space="preserve"> </w:t>
      </w:r>
      <w:proofErr w:type="spellStart"/>
      <w:r>
        <w:t>surgery</w:t>
      </w:r>
      <w:proofErr w:type="spellEnd"/>
      <w:r>
        <w:t xml:space="preserve"> sia in regime ambulatoriale. Nel fornire tali prestazioni lo IOV</w:t>
      </w:r>
      <w:r w:rsidR="00C26CEC">
        <w:t>-</w:t>
      </w:r>
      <w:r>
        <w:t xml:space="preserve">IRCCS gestisce e segue percorsi diagnostici terapeutici assistenziali (PDTA) all’avanguardia, secondo standard riconosciuti a livello europeo e indicati dalle disposizioni regionali, basati su un approccio multidisciplinare alla patologia, che mettono al centro la persona e la qualità della sua vita. </w:t>
      </w:r>
    </w:p>
    <w:p w:rsidR="00C26CEC" w:rsidRDefault="00C26CEC" w:rsidP="00156EE5">
      <w:pPr>
        <w:jc w:val="both"/>
      </w:pPr>
      <w:r w:rsidRPr="00C26CEC">
        <w:t xml:space="preserve">Nel quadro della programmazione socio sanitaria regionale e nell’ambito dell’organizzazione della rete oncologica regionale per livelli, allo </w:t>
      </w:r>
      <w:r>
        <w:t>IOV-IRCCS</w:t>
      </w:r>
      <w:r w:rsidRPr="00C26CEC">
        <w:t xml:space="preserve"> è assegnato il ruolo di centro HUB di coordinamento in stretta sintonia con i poli oncologici di riferimento, i dipartimenti di oncologia clinica e i gruppi oncologici multidisciplinari (GOM) operanti anche presso l’Azienda Ospedale-Università Padova, l’Azienda Ospedaliera Universitaria Integrata di Verona e le Aziende ULSS. In particolare, lo IOV-IRCCS garantisce il supporto logistico e operativo al Coordinamento Regionale per le Attività Oncologiche (CRAO), afferente all’Area Sanità e Sociale della Regione del Veneto.</w:t>
      </w:r>
    </w:p>
    <w:p w:rsidR="00A9790F" w:rsidRDefault="00A9790F" w:rsidP="00156EE5">
      <w:pPr>
        <w:jc w:val="both"/>
      </w:pPr>
      <w:r>
        <w:t xml:space="preserve">Il modello organizzativo dello </w:t>
      </w:r>
      <w:r w:rsidR="00C26CEC" w:rsidRPr="00C26CEC">
        <w:t>IOV-IRCCS</w:t>
      </w:r>
      <w:r>
        <w:t xml:space="preserve"> è, in linea di massima, quello tipico delle aziende sanitarie locali (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502/1992 e </w:t>
      </w:r>
      <w:proofErr w:type="spellStart"/>
      <w:r>
        <w:t>s.m.i.</w:t>
      </w:r>
      <w:proofErr w:type="spellEnd"/>
      <w:r>
        <w:t xml:space="preserve">) pur con le specificità dovute al suo status di Istituto di Ricovero e Cura a Carattere Scientifico </w:t>
      </w:r>
      <w:r w:rsidR="009E622B">
        <w:t>(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288/2003 e </w:t>
      </w:r>
      <w:proofErr w:type="spellStart"/>
      <w:r>
        <w:t>s.m.i.</w:t>
      </w:r>
      <w:proofErr w:type="spellEnd"/>
      <w:r w:rsidR="00D83513">
        <w:t xml:space="preserve"> </w:t>
      </w:r>
      <w:r w:rsidR="00D83513" w:rsidRPr="00D83513">
        <w:t xml:space="preserve">e il </w:t>
      </w:r>
      <w:proofErr w:type="spellStart"/>
      <w:proofErr w:type="gramStart"/>
      <w:r w:rsidR="00D83513" w:rsidRPr="00D83513">
        <w:t>D</w:t>
      </w:r>
      <w:r w:rsidR="00D83513">
        <w:t>.Lgs</w:t>
      </w:r>
      <w:proofErr w:type="spellEnd"/>
      <w:proofErr w:type="gramEnd"/>
      <w:r w:rsidR="00D83513" w:rsidRPr="00D83513">
        <w:t xml:space="preserve"> </w:t>
      </w:r>
      <w:r w:rsidR="00D83513">
        <w:t>200/2022</w:t>
      </w:r>
      <w:r>
        <w:t>).</w:t>
      </w:r>
      <w:r w:rsidR="009E622B">
        <w:t xml:space="preserve"> </w:t>
      </w:r>
      <w:r>
        <w:t>L’organigramma, di tipo piramidale, vede al vertice il Direttore Generale</w:t>
      </w:r>
      <w:r w:rsidR="00646805">
        <w:t xml:space="preserve"> (</w:t>
      </w:r>
      <w:r w:rsidR="00D83513">
        <w:t>D</w:t>
      </w:r>
      <w:r w:rsidR="00646805">
        <w:t xml:space="preserve">ott.ssa </w:t>
      </w:r>
      <w:r w:rsidR="00D83513">
        <w:t xml:space="preserve">Maria Giuseppina </w:t>
      </w:r>
      <w:proofErr w:type="spellStart"/>
      <w:r w:rsidR="00D83513">
        <w:t>Bonavina</w:t>
      </w:r>
      <w:proofErr w:type="spellEnd"/>
      <w:r w:rsidR="00646805">
        <w:t>)</w:t>
      </w:r>
      <w:r>
        <w:t xml:space="preserve"> e il Direttore Scientifico</w:t>
      </w:r>
      <w:r w:rsidR="00C74C3B">
        <w:t xml:space="preserve"> (</w:t>
      </w:r>
      <w:r w:rsidR="00D83513">
        <w:t>Prof. Vincenzo Bronte</w:t>
      </w:r>
      <w:r w:rsidR="00C74C3B">
        <w:t>)</w:t>
      </w:r>
      <w:r>
        <w:t>; la Direzione Aziendale include, inoltre, il Direttore Sanitario</w:t>
      </w:r>
      <w:r w:rsidR="00646805">
        <w:t xml:space="preserve"> (Dott.ssa Anna Maria </w:t>
      </w:r>
      <w:proofErr w:type="spellStart"/>
      <w:r w:rsidR="00646805">
        <w:t>Saieva</w:t>
      </w:r>
      <w:proofErr w:type="spellEnd"/>
      <w:r w:rsidR="00646805">
        <w:t>)</w:t>
      </w:r>
      <w:r>
        <w:t xml:space="preserve"> e il Direttore Amministrativo</w:t>
      </w:r>
      <w:r w:rsidR="00646805">
        <w:t xml:space="preserve"> (Dott. </w:t>
      </w:r>
      <w:r w:rsidR="00D83513">
        <w:t xml:space="preserve">Fabrizio </w:t>
      </w:r>
      <w:proofErr w:type="spellStart"/>
      <w:r w:rsidR="00D83513">
        <w:t>Garbin</w:t>
      </w:r>
      <w:proofErr w:type="spellEnd"/>
      <w:r w:rsidR="00646805">
        <w:t>)</w:t>
      </w:r>
      <w:r>
        <w:t>, nominati dal Direttore Generale</w:t>
      </w:r>
      <w:bookmarkStart w:id="0" w:name="_GoBack"/>
      <w:bookmarkEnd w:id="0"/>
      <w:r>
        <w:t>. Ciascuna direzione può contare su proprie strutture di staff.</w:t>
      </w:r>
    </w:p>
    <w:p w:rsidR="00A9790F" w:rsidRDefault="00A9790F" w:rsidP="00156EE5">
      <w:pPr>
        <w:jc w:val="both"/>
      </w:pPr>
      <w:r>
        <w:t>La base della piramide è composta da quattro dipartimenti funzionali (Oncologia</w:t>
      </w:r>
      <w:r w:rsidR="00D83513">
        <w:t xml:space="preserve"> medica</w:t>
      </w:r>
      <w:r>
        <w:t xml:space="preserve">, Chirurgie oncologiche, </w:t>
      </w:r>
      <w:r w:rsidR="00EF1965">
        <w:t>Diagnostica per immagini e Radioterapia</w:t>
      </w:r>
      <w:r>
        <w:t>, Oncologia traslazionale e servizi</w:t>
      </w:r>
      <w:r w:rsidR="00EF1965">
        <w:t xml:space="preserve"> trasversali</w:t>
      </w:r>
      <w:r>
        <w:t>) cui afferiscono le unità operative complesse, semplici e semplici a valenza dipartimentale che erogano i servizi di diagnosi e cura.</w:t>
      </w:r>
      <w:r w:rsidR="009E622B">
        <w:t xml:space="preserve"> </w:t>
      </w:r>
      <w:r>
        <w:t xml:space="preserve">Organi dell’Istituto </w:t>
      </w:r>
      <w:r>
        <w:lastRenderedPageBreak/>
        <w:t>sono il Direttore Generale, il Direttore Scientifico, il Consiglio di Indirizzo e Verifica, il Collegio Sindacale e il Collegio di Direzione.</w:t>
      </w:r>
      <w:r w:rsidR="009E622B">
        <w:t xml:space="preserve"> </w:t>
      </w:r>
      <w:r>
        <w:t>Sono, inoltre, presenti i seguenti organismi collegiali: Comitato Etico, Comitato Tecnico Scientifico, Organismo Indipendente di Valutazione, Consiglio dei Sanitari e Comitato Unico di Garanzia.</w:t>
      </w:r>
    </w:p>
    <w:p w:rsidR="00A9790F" w:rsidRDefault="00A9790F" w:rsidP="00156EE5">
      <w:pPr>
        <w:jc w:val="both"/>
      </w:pPr>
      <w:r w:rsidRPr="00A9790F">
        <w:t>Nel 20</w:t>
      </w:r>
      <w:r w:rsidR="00AD3C63">
        <w:t>2</w:t>
      </w:r>
      <w:r w:rsidR="00EF1965">
        <w:t>2</w:t>
      </w:r>
      <w:r w:rsidRPr="00A9790F">
        <w:t xml:space="preserve"> il personale dello </w:t>
      </w:r>
      <w:r w:rsidR="00C26CEC" w:rsidRPr="00C26CEC">
        <w:t xml:space="preserve">IOV-IRCCS </w:t>
      </w:r>
      <w:r w:rsidRPr="00A9790F">
        <w:t xml:space="preserve">ha </w:t>
      </w:r>
      <w:r w:rsidR="00AD3C63">
        <w:t>raggiunto le 1.</w:t>
      </w:r>
      <w:r w:rsidR="00EF1965">
        <w:t>358</w:t>
      </w:r>
      <w:r w:rsidR="00AD3C63">
        <w:t xml:space="preserve"> unità</w:t>
      </w:r>
      <w:r w:rsidRPr="00A9790F">
        <w:t>, con un incremento di</w:t>
      </w:r>
      <w:r w:rsidR="00BF02AD">
        <w:t xml:space="preserve"> </w:t>
      </w:r>
      <w:r w:rsidR="00EF1965">
        <w:t>65</w:t>
      </w:r>
      <w:r w:rsidRPr="00A9790F">
        <w:t xml:space="preserve"> rispetto all’anno precedente. </w:t>
      </w:r>
    </w:p>
    <w:p w:rsidR="00A9790F" w:rsidRDefault="00A9790F" w:rsidP="00156EE5">
      <w:pPr>
        <w:jc w:val="both"/>
      </w:pPr>
      <w:r w:rsidRPr="00A9790F">
        <w:t>Lo IOV è riconosciuto dalla Regione come </w:t>
      </w:r>
      <w:r w:rsidRPr="00A9790F">
        <w:rPr>
          <w:bCs/>
        </w:rPr>
        <w:t>provider ECM</w:t>
      </w:r>
      <w:r w:rsidRPr="00A9790F">
        <w:t>, ovvero un soggetto qualificato nel campo della formazione continua in sanità che è abilitato a realizzare attività formative riconosciute idonee per l’ECM (Educazione Continua in Medicina) individuando e attribuendo direttamente i crediti ai partecipanti.</w:t>
      </w:r>
    </w:p>
    <w:p w:rsidR="00A9790F" w:rsidRDefault="00A9790F" w:rsidP="00156EE5">
      <w:pPr>
        <w:jc w:val="both"/>
      </w:pPr>
      <w:r w:rsidRPr="00A9790F">
        <w:t>Nell’anno 20</w:t>
      </w:r>
      <w:r w:rsidR="00EF1965">
        <w:t>22</w:t>
      </w:r>
      <w:r w:rsidRPr="00A9790F">
        <w:t xml:space="preserve"> lo </w:t>
      </w:r>
      <w:r w:rsidR="00C26CEC" w:rsidRPr="00C26CEC">
        <w:t>IOV-IRCCS</w:t>
      </w:r>
      <w:r w:rsidRPr="00A9790F">
        <w:t xml:space="preserve"> ha erogato </w:t>
      </w:r>
      <w:r w:rsidR="00EF1965">
        <w:t xml:space="preserve">24.752 ore di formazione tra corsi </w:t>
      </w:r>
      <w:r w:rsidRPr="00A9790F">
        <w:t>residenziali, ovvero in aula, e sul campo. I corsi sono stati individuati e pianificati dalla Direzione Aziendale in base a tematiche prioritarie, al fine di garantire lo sviluppo continuo delle competenze. Complessivamente nel 20</w:t>
      </w:r>
      <w:r w:rsidR="00EF1965">
        <w:t>22</w:t>
      </w:r>
      <w:r w:rsidRPr="00A9790F">
        <w:t xml:space="preserve"> sono stati erogati </w:t>
      </w:r>
      <w:r w:rsidR="00EF1965">
        <w:t>29.126</w:t>
      </w:r>
      <w:r w:rsidR="00BF02AD">
        <w:t xml:space="preserve"> </w:t>
      </w:r>
      <w:r w:rsidRPr="00A9790F">
        <w:t>crediti formativi.</w:t>
      </w:r>
    </w:p>
    <w:p w:rsidR="009E622B" w:rsidRPr="00C26CEC" w:rsidRDefault="009E622B" w:rsidP="00A9790F">
      <w:pPr>
        <w:rPr>
          <w:sz w:val="16"/>
          <w:szCs w:val="16"/>
        </w:rPr>
      </w:pPr>
    </w:p>
    <w:p w:rsidR="00A9790F" w:rsidRDefault="00A9790F" w:rsidP="00A9790F">
      <w:pPr>
        <w:rPr>
          <w:b/>
          <w:u w:val="single"/>
        </w:rPr>
      </w:pPr>
      <w:r w:rsidRPr="00A9790F">
        <w:rPr>
          <w:b/>
          <w:u w:val="single"/>
        </w:rPr>
        <w:t xml:space="preserve">Volumi di attività </w:t>
      </w:r>
      <w:r w:rsidR="00346BBF">
        <w:rPr>
          <w:b/>
          <w:u w:val="single"/>
        </w:rPr>
        <w:t>p</w:t>
      </w:r>
      <w:r w:rsidRPr="00A9790F">
        <w:rPr>
          <w:b/>
          <w:u w:val="single"/>
        </w:rPr>
        <w:t>restazioni sanitarie anno 20</w:t>
      </w:r>
      <w:r w:rsidR="00AD3C63">
        <w:rPr>
          <w:b/>
          <w:u w:val="single"/>
        </w:rPr>
        <w:t>2</w:t>
      </w:r>
      <w:r w:rsidR="00EF1965">
        <w:rPr>
          <w:b/>
          <w:u w:val="single"/>
        </w:rPr>
        <w:t>3</w:t>
      </w:r>
    </w:p>
    <w:tbl>
      <w:tblPr>
        <w:tblW w:w="5000" w:type="pct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5153"/>
        <w:gridCol w:w="797"/>
        <w:gridCol w:w="851"/>
        <w:gridCol w:w="993"/>
        <w:gridCol w:w="1340"/>
        <w:gridCol w:w="1322"/>
      </w:tblGrid>
      <w:tr w:rsidR="00EF1965" w:rsidRPr="00346BBF" w:rsidTr="00346BBF">
        <w:trPr>
          <w:tblHeader/>
          <w:jc w:val="right"/>
        </w:trPr>
        <w:tc>
          <w:tcPr>
            <w:tcW w:w="2464" w:type="pct"/>
            <w:shd w:val="clear" w:color="auto" w:fill="E7ECF1"/>
            <w:vAlign w:val="center"/>
            <w:hideMark/>
          </w:tcPr>
          <w:p w:rsidR="00EF1965" w:rsidRPr="00346BBF" w:rsidRDefault="00EF1965" w:rsidP="00346BBF">
            <w:pPr>
              <w:spacing w:before="100" w:after="100"/>
              <w:rPr>
                <w:rFonts w:cstheme="minorHAnsi"/>
                <w:b/>
                <w:bCs/>
              </w:rPr>
            </w:pPr>
            <w:r w:rsidRPr="00346BBF">
              <w:rPr>
                <w:rFonts w:cstheme="minorHAnsi"/>
                <w:b/>
                <w:bCs/>
              </w:rPr>
              <w:t>Voce</w:t>
            </w:r>
          </w:p>
        </w:tc>
        <w:tc>
          <w:tcPr>
            <w:tcW w:w="381" w:type="pct"/>
            <w:shd w:val="clear" w:color="auto" w:fill="E7ECF1"/>
            <w:vAlign w:val="center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  <w:b/>
                <w:bCs/>
              </w:rPr>
            </w:pPr>
            <w:r w:rsidRPr="00346BBF">
              <w:rPr>
                <w:rFonts w:cstheme="minorHAnsi"/>
                <w:b/>
                <w:bCs/>
              </w:rPr>
              <w:t>2021</w:t>
            </w:r>
          </w:p>
        </w:tc>
        <w:tc>
          <w:tcPr>
            <w:tcW w:w="407" w:type="pct"/>
            <w:shd w:val="clear" w:color="auto" w:fill="E7ECF1"/>
            <w:vAlign w:val="center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  <w:b/>
                <w:bCs/>
              </w:rPr>
            </w:pPr>
            <w:r w:rsidRPr="00346BBF">
              <w:rPr>
                <w:rFonts w:cstheme="minorHAnsi"/>
                <w:b/>
                <w:bCs/>
              </w:rPr>
              <w:t>2022</w:t>
            </w:r>
          </w:p>
        </w:tc>
        <w:tc>
          <w:tcPr>
            <w:tcW w:w="475" w:type="pct"/>
            <w:shd w:val="clear" w:color="auto" w:fill="E7ECF1"/>
            <w:vAlign w:val="center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  <w:b/>
                <w:bCs/>
              </w:rPr>
            </w:pPr>
            <w:r w:rsidRPr="00346BBF">
              <w:rPr>
                <w:rFonts w:cstheme="minorHAnsi"/>
                <w:b/>
                <w:bCs/>
              </w:rPr>
              <w:t>2023</w:t>
            </w:r>
          </w:p>
        </w:tc>
        <w:tc>
          <w:tcPr>
            <w:tcW w:w="641" w:type="pct"/>
            <w:shd w:val="clear" w:color="auto" w:fill="E7ECF1"/>
            <w:vAlign w:val="center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  <w:b/>
                <w:bCs/>
              </w:rPr>
            </w:pPr>
            <w:r w:rsidRPr="00346BBF">
              <w:rPr>
                <w:rFonts w:cstheme="minorHAnsi"/>
                <w:b/>
                <w:bCs/>
              </w:rPr>
              <w:t>Scostamento 2023/2022</w:t>
            </w:r>
          </w:p>
        </w:tc>
        <w:tc>
          <w:tcPr>
            <w:tcW w:w="629" w:type="pct"/>
            <w:shd w:val="clear" w:color="auto" w:fill="E7ECF1"/>
            <w:vAlign w:val="center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  <w:b/>
                <w:bCs/>
              </w:rPr>
            </w:pPr>
            <w:r w:rsidRPr="00346BBF">
              <w:rPr>
                <w:rFonts w:cstheme="minorHAnsi"/>
                <w:b/>
                <w:bCs/>
              </w:rPr>
              <w:t>Scostamento %</w:t>
            </w:r>
          </w:p>
        </w:tc>
      </w:tr>
      <w:tr w:rsidR="00EF1965" w:rsidRPr="00346BBF" w:rsidTr="00346BBF">
        <w:trPr>
          <w:jc w:val="right"/>
        </w:trPr>
        <w:tc>
          <w:tcPr>
            <w:tcW w:w="2464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rPr>
                <w:rFonts w:cstheme="minorHAnsi"/>
              </w:rPr>
            </w:pPr>
            <w:r w:rsidRPr="00346BBF">
              <w:rPr>
                <w:rFonts w:cstheme="minorHAnsi"/>
              </w:rPr>
              <w:t>Numero trattamenti chemioterapici</w:t>
            </w:r>
          </w:p>
        </w:tc>
        <w:tc>
          <w:tcPr>
            <w:tcW w:w="381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44.987</w:t>
            </w:r>
          </w:p>
        </w:tc>
        <w:tc>
          <w:tcPr>
            <w:tcW w:w="407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51.135</w:t>
            </w:r>
          </w:p>
        </w:tc>
        <w:tc>
          <w:tcPr>
            <w:tcW w:w="475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57.242</w:t>
            </w:r>
          </w:p>
        </w:tc>
        <w:tc>
          <w:tcPr>
            <w:tcW w:w="641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6.091</w:t>
            </w:r>
          </w:p>
        </w:tc>
        <w:tc>
          <w:tcPr>
            <w:tcW w:w="633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11,91%</w:t>
            </w:r>
          </w:p>
        </w:tc>
      </w:tr>
      <w:tr w:rsidR="00EF1965" w:rsidRPr="00346BBF" w:rsidTr="00346BBF">
        <w:trPr>
          <w:jc w:val="right"/>
        </w:trPr>
        <w:tc>
          <w:tcPr>
            <w:tcW w:w="2464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rPr>
                <w:rFonts w:cstheme="minorHAnsi"/>
              </w:rPr>
            </w:pPr>
            <w:r w:rsidRPr="00346BBF">
              <w:rPr>
                <w:rFonts w:cstheme="minorHAnsi"/>
              </w:rPr>
              <w:t>Numero di pazienti in trattamento chemioterapico</w:t>
            </w:r>
          </w:p>
        </w:tc>
        <w:tc>
          <w:tcPr>
            <w:tcW w:w="381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5.779</w:t>
            </w:r>
          </w:p>
        </w:tc>
        <w:tc>
          <w:tcPr>
            <w:tcW w:w="407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6.346</w:t>
            </w:r>
          </w:p>
        </w:tc>
        <w:tc>
          <w:tcPr>
            <w:tcW w:w="475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6.945</w:t>
            </w:r>
          </w:p>
        </w:tc>
        <w:tc>
          <w:tcPr>
            <w:tcW w:w="641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598</w:t>
            </w:r>
          </w:p>
        </w:tc>
        <w:tc>
          <w:tcPr>
            <w:tcW w:w="633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9,42%</w:t>
            </w:r>
          </w:p>
        </w:tc>
      </w:tr>
      <w:tr w:rsidR="00EF1965" w:rsidRPr="00346BBF" w:rsidTr="00346BBF">
        <w:trPr>
          <w:jc w:val="right"/>
        </w:trPr>
        <w:tc>
          <w:tcPr>
            <w:tcW w:w="2464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rPr>
                <w:rFonts w:cstheme="minorHAnsi"/>
              </w:rPr>
            </w:pPr>
            <w:r w:rsidRPr="00346BBF">
              <w:rPr>
                <w:rFonts w:cstheme="minorHAnsi"/>
              </w:rPr>
              <w:t>Prestazioni di radiologia e senologia</w:t>
            </w:r>
          </w:p>
        </w:tc>
        <w:tc>
          <w:tcPr>
            <w:tcW w:w="381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76.759</w:t>
            </w:r>
          </w:p>
        </w:tc>
        <w:tc>
          <w:tcPr>
            <w:tcW w:w="407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73.884</w:t>
            </w:r>
          </w:p>
        </w:tc>
        <w:tc>
          <w:tcPr>
            <w:tcW w:w="475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79.489</w:t>
            </w:r>
          </w:p>
        </w:tc>
        <w:tc>
          <w:tcPr>
            <w:tcW w:w="641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5.605</w:t>
            </w:r>
          </w:p>
        </w:tc>
        <w:tc>
          <w:tcPr>
            <w:tcW w:w="633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7,59%</w:t>
            </w:r>
          </w:p>
        </w:tc>
      </w:tr>
      <w:tr w:rsidR="00EF1965" w:rsidRPr="00346BBF" w:rsidTr="00346BBF">
        <w:trPr>
          <w:jc w:val="right"/>
        </w:trPr>
        <w:tc>
          <w:tcPr>
            <w:tcW w:w="2464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rPr>
                <w:rFonts w:cstheme="minorHAnsi"/>
              </w:rPr>
            </w:pPr>
            <w:r w:rsidRPr="00346BBF">
              <w:rPr>
                <w:rFonts w:cstheme="minorHAnsi"/>
              </w:rPr>
              <w:t>Numero trattamenti radioterapici</w:t>
            </w:r>
          </w:p>
        </w:tc>
        <w:tc>
          <w:tcPr>
            <w:tcW w:w="381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42.959</w:t>
            </w:r>
          </w:p>
        </w:tc>
        <w:tc>
          <w:tcPr>
            <w:tcW w:w="407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44.654</w:t>
            </w:r>
          </w:p>
        </w:tc>
        <w:tc>
          <w:tcPr>
            <w:tcW w:w="475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48.311</w:t>
            </w:r>
          </w:p>
        </w:tc>
        <w:tc>
          <w:tcPr>
            <w:tcW w:w="641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2.502</w:t>
            </w:r>
          </w:p>
        </w:tc>
        <w:tc>
          <w:tcPr>
            <w:tcW w:w="633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5,46%</w:t>
            </w:r>
          </w:p>
        </w:tc>
      </w:tr>
      <w:tr w:rsidR="00EF1965" w:rsidRPr="00346BBF" w:rsidTr="00346BBF">
        <w:trPr>
          <w:jc w:val="right"/>
        </w:trPr>
        <w:tc>
          <w:tcPr>
            <w:tcW w:w="2464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rPr>
                <w:rFonts w:cstheme="minorHAnsi"/>
              </w:rPr>
            </w:pPr>
            <w:r w:rsidRPr="00346BBF">
              <w:rPr>
                <w:rFonts w:cstheme="minorHAnsi"/>
              </w:rPr>
              <w:t>Numero di pazienti in trattamento radioterapico</w:t>
            </w:r>
          </w:p>
        </w:tc>
        <w:tc>
          <w:tcPr>
            <w:tcW w:w="381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2.719</w:t>
            </w:r>
          </w:p>
        </w:tc>
        <w:tc>
          <w:tcPr>
            <w:tcW w:w="407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2.810</w:t>
            </w:r>
          </w:p>
        </w:tc>
        <w:tc>
          <w:tcPr>
            <w:tcW w:w="475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3.030</w:t>
            </w:r>
          </w:p>
        </w:tc>
        <w:tc>
          <w:tcPr>
            <w:tcW w:w="641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177</w:t>
            </w:r>
          </w:p>
        </w:tc>
        <w:tc>
          <w:tcPr>
            <w:tcW w:w="633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6,20%</w:t>
            </w:r>
          </w:p>
        </w:tc>
      </w:tr>
      <w:tr w:rsidR="00EF1965" w:rsidRPr="00346BBF" w:rsidTr="00346BBF">
        <w:trPr>
          <w:jc w:val="right"/>
        </w:trPr>
        <w:tc>
          <w:tcPr>
            <w:tcW w:w="2464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rPr>
                <w:rFonts w:cstheme="minorHAnsi"/>
              </w:rPr>
            </w:pPr>
            <w:r w:rsidRPr="00346BBF">
              <w:rPr>
                <w:rFonts w:cstheme="minorHAnsi"/>
              </w:rPr>
              <w:t>Numero di prestazioni per progetto screening “giovani donne”</w:t>
            </w:r>
          </w:p>
        </w:tc>
        <w:tc>
          <w:tcPr>
            <w:tcW w:w="381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10.983</w:t>
            </w:r>
          </w:p>
        </w:tc>
        <w:tc>
          <w:tcPr>
            <w:tcW w:w="407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7.816</w:t>
            </w:r>
          </w:p>
        </w:tc>
        <w:tc>
          <w:tcPr>
            <w:tcW w:w="475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9.576</w:t>
            </w:r>
          </w:p>
        </w:tc>
        <w:tc>
          <w:tcPr>
            <w:tcW w:w="641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1.760</w:t>
            </w:r>
          </w:p>
        </w:tc>
        <w:tc>
          <w:tcPr>
            <w:tcW w:w="633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22,52%</w:t>
            </w:r>
          </w:p>
        </w:tc>
      </w:tr>
      <w:tr w:rsidR="00EF1965" w:rsidRPr="00346BBF" w:rsidTr="00346BBF">
        <w:trPr>
          <w:jc w:val="right"/>
        </w:trPr>
        <w:tc>
          <w:tcPr>
            <w:tcW w:w="2464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rPr>
                <w:rFonts w:cstheme="minorHAnsi"/>
              </w:rPr>
            </w:pPr>
            <w:r w:rsidRPr="00346BBF">
              <w:rPr>
                <w:rFonts w:cstheme="minorHAnsi"/>
              </w:rPr>
              <w:t xml:space="preserve">Numero di utenti screening ricerca </w:t>
            </w:r>
            <w:proofErr w:type="spellStart"/>
            <w:r w:rsidRPr="00346BBF">
              <w:rPr>
                <w:rFonts w:cstheme="minorHAnsi"/>
              </w:rPr>
              <w:t>papillomavirus</w:t>
            </w:r>
            <w:proofErr w:type="spellEnd"/>
            <w:r w:rsidRPr="00346BBF">
              <w:rPr>
                <w:rFonts w:cstheme="minorHAnsi"/>
              </w:rPr>
              <w:t xml:space="preserve"> (HPV)</w:t>
            </w:r>
          </w:p>
        </w:tc>
        <w:tc>
          <w:tcPr>
            <w:tcW w:w="381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35.869</w:t>
            </w:r>
          </w:p>
        </w:tc>
        <w:tc>
          <w:tcPr>
            <w:tcW w:w="407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36.625</w:t>
            </w:r>
          </w:p>
        </w:tc>
        <w:tc>
          <w:tcPr>
            <w:tcW w:w="475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42.490</w:t>
            </w:r>
          </w:p>
        </w:tc>
        <w:tc>
          <w:tcPr>
            <w:tcW w:w="641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5.864</w:t>
            </w:r>
          </w:p>
        </w:tc>
        <w:tc>
          <w:tcPr>
            <w:tcW w:w="633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16,01%</w:t>
            </w:r>
          </w:p>
        </w:tc>
      </w:tr>
      <w:tr w:rsidR="00EF1965" w:rsidRPr="00346BBF" w:rsidTr="00346BBF">
        <w:trPr>
          <w:jc w:val="right"/>
        </w:trPr>
        <w:tc>
          <w:tcPr>
            <w:tcW w:w="2464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rPr>
                <w:rFonts w:cstheme="minorHAnsi"/>
              </w:rPr>
            </w:pPr>
            <w:r w:rsidRPr="00346BBF">
              <w:rPr>
                <w:rFonts w:cstheme="minorHAnsi"/>
              </w:rPr>
              <w:t>Numero di interventi chirurgici</w:t>
            </w:r>
          </w:p>
        </w:tc>
        <w:tc>
          <w:tcPr>
            <w:tcW w:w="381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5.487</w:t>
            </w:r>
          </w:p>
        </w:tc>
        <w:tc>
          <w:tcPr>
            <w:tcW w:w="407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6.177</w:t>
            </w:r>
          </w:p>
        </w:tc>
        <w:tc>
          <w:tcPr>
            <w:tcW w:w="475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6.702</w:t>
            </w:r>
          </w:p>
        </w:tc>
        <w:tc>
          <w:tcPr>
            <w:tcW w:w="641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490</w:t>
            </w:r>
          </w:p>
        </w:tc>
        <w:tc>
          <w:tcPr>
            <w:tcW w:w="633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7,89%</w:t>
            </w:r>
          </w:p>
        </w:tc>
      </w:tr>
      <w:tr w:rsidR="00EF1965" w:rsidRPr="00346BBF" w:rsidTr="00346BBF">
        <w:trPr>
          <w:jc w:val="right"/>
        </w:trPr>
        <w:tc>
          <w:tcPr>
            <w:tcW w:w="2464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rPr>
                <w:rFonts w:cstheme="minorHAnsi"/>
              </w:rPr>
            </w:pPr>
            <w:r w:rsidRPr="00346BBF">
              <w:rPr>
                <w:rFonts w:cstheme="minorHAnsi"/>
              </w:rPr>
              <w:t>Numero di interventi di chirurgia robotica</w:t>
            </w:r>
          </w:p>
        </w:tc>
        <w:tc>
          <w:tcPr>
            <w:tcW w:w="381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304</w:t>
            </w:r>
          </w:p>
        </w:tc>
        <w:tc>
          <w:tcPr>
            <w:tcW w:w="407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459</w:t>
            </w:r>
          </w:p>
        </w:tc>
        <w:tc>
          <w:tcPr>
            <w:tcW w:w="475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514</w:t>
            </w:r>
          </w:p>
        </w:tc>
        <w:tc>
          <w:tcPr>
            <w:tcW w:w="641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53</w:t>
            </w:r>
          </w:p>
        </w:tc>
        <w:tc>
          <w:tcPr>
            <w:tcW w:w="633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11,50%</w:t>
            </w:r>
          </w:p>
        </w:tc>
      </w:tr>
      <w:tr w:rsidR="00EF1965" w:rsidRPr="00346BBF" w:rsidTr="00346BBF">
        <w:trPr>
          <w:jc w:val="right"/>
        </w:trPr>
        <w:tc>
          <w:tcPr>
            <w:tcW w:w="2464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rPr>
                <w:rFonts w:cstheme="minorHAnsi"/>
              </w:rPr>
            </w:pPr>
            <w:r w:rsidRPr="00346BBF">
              <w:rPr>
                <w:rFonts w:cstheme="minorHAnsi"/>
              </w:rPr>
              <w:t>Numero dimissioni da ricovero ordinari</w:t>
            </w:r>
          </w:p>
        </w:tc>
        <w:tc>
          <w:tcPr>
            <w:tcW w:w="381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6.122</w:t>
            </w:r>
          </w:p>
        </w:tc>
        <w:tc>
          <w:tcPr>
            <w:tcW w:w="407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6.830</w:t>
            </w:r>
          </w:p>
        </w:tc>
        <w:tc>
          <w:tcPr>
            <w:tcW w:w="475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7.662</w:t>
            </w:r>
          </w:p>
        </w:tc>
        <w:tc>
          <w:tcPr>
            <w:tcW w:w="641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829</w:t>
            </w:r>
          </w:p>
        </w:tc>
        <w:tc>
          <w:tcPr>
            <w:tcW w:w="633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12,13%</w:t>
            </w:r>
          </w:p>
        </w:tc>
      </w:tr>
      <w:tr w:rsidR="00EF1965" w:rsidRPr="00346BBF" w:rsidTr="00346BBF">
        <w:trPr>
          <w:jc w:val="right"/>
        </w:trPr>
        <w:tc>
          <w:tcPr>
            <w:tcW w:w="2464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rPr>
                <w:rFonts w:cstheme="minorHAnsi"/>
              </w:rPr>
            </w:pPr>
            <w:r w:rsidRPr="00346BBF">
              <w:rPr>
                <w:rFonts w:cstheme="minorHAnsi"/>
              </w:rPr>
              <w:t>Numero dimissioni da ricovero diurno</w:t>
            </w:r>
          </w:p>
        </w:tc>
        <w:tc>
          <w:tcPr>
            <w:tcW w:w="381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1.461</w:t>
            </w:r>
          </w:p>
        </w:tc>
        <w:tc>
          <w:tcPr>
            <w:tcW w:w="407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1.442</w:t>
            </w:r>
          </w:p>
        </w:tc>
        <w:tc>
          <w:tcPr>
            <w:tcW w:w="475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1.521</w:t>
            </w:r>
          </w:p>
        </w:tc>
        <w:tc>
          <w:tcPr>
            <w:tcW w:w="641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82</w:t>
            </w:r>
          </w:p>
        </w:tc>
        <w:tc>
          <w:tcPr>
            <w:tcW w:w="633" w:type="pct"/>
            <w:shd w:val="clear" w:color="auto" w:fill="FFFFFF"/>
            <w:hideMark/>
          </w:tcPr>
          <w:p w:rsidR="00EF1965" w:rsidRPr="00346BBF" w:rsidRDefault="00EF1965" w:rsidP="00346BBF">
            <w:pPr>
              <w:spacing w:before="100" w:after="100"/>
              <w:jc w:val="right"/>
              <w:rPr>
                <w:rFonts w:cstheme="minorHAnsi"/>
              </w:rPr>
            </w:pPr>
            <w:r w:rsidRPr="00346BBF">
              <w:rPr>
                <w:rFonts w:cstheme="minorHAnsi"/>
              </w:rPr>
              <w:t>5,70%</w:t>
            </w:r>
          </w:p>
        </w:tc>
      </w:tr>
    </w:tbl>
    <w:p w:rsidR="00EF1965" w:rsidRPr="00A9790F" w:rsidRDefault="00EF1965" w:rsidP="00A9790F">
      <w:pPr>
        <w:rPr>
          <w:vanish/>
        </w:rPr>
      </w:pPr>
    </w:p>
    <w:p w:rsidR="00A9790F" w:rsidRPr="00A9790F" w:rsidRDefault="00A9790F" w:rsidP="00A9790F">
      <w:r w:rsidRPr="00A9790F">
        <w:rPr>
          <w:i/>
          <w:iCs/>
        </w:rPr>
        <w:t>Fonte: </w:t>
      </w:r>
      <w:r w:rsidR="00DC0697">
        <w:rPr>
          <w:i/>
          <w:iCs/>
        </w:rPr>
        <w:t>UOS</w:t>
      </w:r>
      <w:r w:rsidRPr="00A9790F">
        <w:rPr>
          <w:i/>
          <w:iCs/>
        </w:rPr>
        <w:t xml:space="preserve"> Controllo di gestione </w:t>
      </w:r>
    </w:p>
    <w:p w:rsidR="00346BBF" w:rsidRPr="00C26CEC" w:rsidRDefault="00346BBF" w:rsidP="00A9790F">
      <w:pPr>
        <w:rPr>
          <w:b/>
          <w:sz w:val="16"/>
          <w:szCs w:val="16"/>
          <w:u w:val="single"/>
        </w:rPr>
      </w:pPr>
    </w:p>
    <w:p w:rsidR="00A9790F" w:rsidRPr="00A9790F" w:rsidRDefault="00A9790F" w:rsidP="00A9790F">
      <w:pPr>
        <w:rPr>
          <w:b/>
          <w:u w:val="single"/>
        </w:rPr>
      </w:pPr>
      <w:r w:rsidRPr="00A9790F">
        <w:rPr>
          <w:b/>
          <w:u w:val="single"/>
        </w:rPr>
        <w:t>Produttività scientifica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1908"/>
        <w:gridCol w:w="1801"/>
        <w:gridCol w:w="1991"/>
        <w:gridCol w:w="4028"/>
      </w:tblGrid>
      <w:tr w:rsidR="00D53868" w:rsidRPr="00D53868" w:rsidTr="00346BBF">
        <w:trPr>
          <w:tblHeader/>
        </w:trPr>
        <w:tc>
          <w:tcPr>
            <w:tcW w:w="348" w:type="pct"/>
            <w:shd w:val="clear" w:color="auto" w:fill="E7EC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3868" w:rsidRPr="00D53868" w:rsidRDefault="00D53868" w:rsidP="00D53868">
            <w:pPr>
              <w:rPr>
                <w:b/>
                <w:bCs/>
                <w:iCs/>
              </w:rPr>
            </w:pPr>
            <w:r w:rsidRPr="00D53868">
              <w:rPr>
                <w:b/>
                <w:bCs/>
                <w:iCs/>
              </w:rPr>
              <w:t>Anno</w:t>
            </w:r>
          </w:p>
        </w:tc>
        <w:tc>
          <w:tcPr>
            <w:tcW w:w="913" w:type="pct"/>
            <w:shd w:val="clear" w:color="auto" w:fill="E7EC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3868" w:rsidRPr="00D53868" w:rsidRDefault="00D53868" w:rsidP="00D53868">
            <w:pPr>
              <w:rPr>
                <w:b/>
                <w:bCs/>
                <w:iCs/>
              </w:rPr>
            </w:pPr>
            <w:r w:rsidRPr="00D53868">
              <w:rPr>
                <w:b/>
                <w:bCs/>
                <w:iCs/>
              </w:rPr>
              <w:t>N° pubblicazioni</w:t>
            </w:r>
          </w:p>
        </w:tc>
        <w:tc>
          <w:tcPr>
            <w:tcW w:w="861" w:type="pct"/>
            <w:shd w:val="clear" w:color="auto" w:fill="E7EC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3868" w:rsidRPr="00D53868" w:rsidRDefault="00D53868" w:rsidP="00D53868">
            <w:pPr>
              <w:rPr>
                <w:b/>
                <w:bCs/>
                <w:iCs/>
              </w:rPr>
            </w:pPr>
            <w:r w:rsidRPr="00D53868">
              <w:rPr>
                <w:b/>
                <w:bCs/>
                <w:iCs/>
              </w:rPr>
              <w:t>IF normalizzato</w:t>
            </w:r>
          </w:p>
        </w:tc>
        <w:tc>
          <w:tcPr>
            <w:tcW w:w="952" w:type="pct"/>
            <w:shd w:val="clear" w:color="auto" w:fill="E7EC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3868" w:rsidRPr="00D53868" w:rsidRDefault="00D53868" w:rsidP="00D53868">
            <w:pPr>
              <w:rPr>
                <w:b/>
                <w:bCs/>
                <w:iCs/>
              </w:rPr>
            </w:pPr>
            <w:r w:rsidRPr="00D53868">
              <w:rPr>
                <w:b/>
                <w:bCs/>
                <w:iCs/>
              </w:rPr>
              <w:t>IF per ricercatore</w:t>
            </w:r>
          </w:p>
        </w:tc>
        <w:tc>
          <w:tcPr>
            <w:tcW w:w="1926" w:type="pct"/>
            <w:shd w:val="clear" w:color="auto" w:fill="E7EC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3868" w:rsidRPr="00D53868" w:rsidRDefault="00D53868" w:rsidP="00D53868">
            <w:pPr>
              <w:rPr>
                <w:b/>
                <w:bCs/>
                <w:iCs/>
              </w:rPr>
            </w:pPr>
            <w:r w:rsidRPr="00D53868">
              <w:rPr>
                <w:b/>
                <w:bCs/>
                <w:iCs/>
              </w:rPr>
              <w:t>IF per ricercatore con pubblicazioni</w:t>
            </w:r>
          </w:p>
        </w:tc>
      </w:tr>
      <w:tr w:rsidR="00346BBF" w:rsidRPr="00EF1965" w:rsidTr="00346BBF">
        <w:tc>
          <w:tcPr>
            <w:tcW w:w="34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1965" w:rsidRPr="00EF1965" w:rsidRDefault="00EF1965" w:rsidP="00EF1965">
            <w:pPr>
              <w:spacing w:after="0"/>
              <w:rPr>
                <w:rFonts w:cstheme="minorHAnsi"/>
                <w:color w:val="222222"/>
              </w:rPr>
            </w:pPr>
            <w:r w:rsidRPr="00EF1965">
              <w:rPr>
                <w:rFonts w:cstheme="minorHAnsi"/>
                <w:color w:val="222222"/>
              </w:rPr>
              <w:t>2022</w:t>
            </w:r>
          </w:p>
        </w:tc>
        <w:tc>
          <w:tcPr>
            <w:tcW w:w="91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1965" w:rsidRPr="00EF1965" w:rsidRDefault="00EF1965" w:rsidP="00EF1965">
            <w:pPr>
              <w:spacing w:after="0"/>
              <w:jc w:val="right"/>
              <w:textAlignment w:val="baseline"/>
              <w:rPr>
                <w:rFonts w:cstheme="minorHAnsi"/>
                <w:color w:val="222222"/>
              </w:rPr>
            </w:pPr>
            <w:r w:rsidRPr="00EF1965">
              <w:rPr>
                <w:rFonts w:cstheme="minorHAnsi"/>
                <w:color w:val="222222"/>
              </w:rPr>
              <w:t>302</w:t>
            </w:r>
          </w:p>
        </w:tc>
        <w:tc>
          <w:tcPr>
            <w:tcW w:w="86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1965" w:rsidRPr="00EF1965" w:rsidRDefault="00EF1965" w:rsidP="00EF1965">
            <w:pPr>
              <w:spacing w:after="0"/>
              <w:jc w:val="right"/>
              <w:textAlignment w:val="baseline"/>
              <w:rPr>
                <w:rFonts w:cstheme="minorHAnsi"/>
                <w:color w:val="222222"/>
              </w:rPr>
            </w:pPr>
            <w:r w:rsidRPr="00EF1965">
              <w:rPr>
                <w:rFonts w:cstheme="minorHAnsi"/>
                <w:color w:val="222222"/>
              </w:rPr>
              <w:t>1.761,87</w:t>
            </w:r>
          </w:p>
        </w:tc>
        <w:tc>
          <w:tcPr>
            <w:tcW w:w="95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1965" w:rsidRPr="00EF1965" w:rsidRDefault="00EF1965" w:rsidP="00EF1965">
            <w:pPr>
              <w:spacing w:after="0"/>
              <w:jc w:val="right"/>
              <w:textAlignment w:val="baseline"/>
              <w:rPr>
                <w:rFonts w:cstheme="minorHAnsi"/>
                <w:color w:val="222222"/>
              </w:rPr>
            </w:pPr>
            <w:r w:rsidRPr="00EF1965">
              <w:rPr>
                <w:rFonts w:cstheme="minorHAnsi"/>
                <w:color w:val="222222"/>
              </w:rPr>
              <w:t>4,98</w:t>
            </w:r>
          </w:p>
        </w:tc>
        <w:tc>
          <w:tcPr>
            <w:tcW w:w="192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1965" w:rsidRPr="00EF1965" w:rsidRDefault="00EF1965" w:rsidP="00EF1965">
            <w:pPr>
              <w:spacing w:after="0"/>
              <w:jc w:val="right"/>
              <w:textAlignment w:val="baseline"/>
              <w:rPr>
                <w:rFonts w:cstheme="minorHAnsi"/>
                <w:color w:val="222222"/>
              </w:rPr>
            </w:pPr>
            <w:r w:rsidRPr="00EF1965">
              <w:rPr>
                <w:rFonts w:cstheme="minorHAnsi"/>
                <w:color w:val="222222"/>
              </w:rPr>
              <w:t>8,69</w:t>
            </w:r>
          </w:p>
        </w:tc>
      </w:tr>
      <w:tr w:rsidR="00EF1965" w:rsidRPr="00EF1965" w:rsidTr="00346BBF">
        <w:tc>
          <w:tcPr>
            <w:tcW w:w="34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1965" w:rsidRPr="00EF1965" w:rsidRDefault="00EF1965" w:rsidP="00EF1965">
            <w:pPr>
              <w:spacing w:after="0"/>
              <w:rPr>
                <w:rFonts w:cstheme="minorHAnsi"/>
                <w:color w:val="222222"/>
              </w:rPr>
            </w:pPr>
            <w:r w:rsidRPr="00EF1965">
              <w:rPr>
                <w:rFonts w:cstheme="minorHAnsi"/>
                <w:color w:val="222222"/>
              </w:rPr>
              <w:t>2021</w:t>
            </w:r>
          </w:p>
        </w:tc>
        <w:tc>
          <w:tcPr>
            <w:tcW w:w="91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1965" w:rsidRPr="00EF1965" w:rsidRDefault="00EF1965" w:rsidP="00EF1965">
            <w:pPr>
              <w:spacing w:after="0"/>
              <w:jc w:val="right"/>
              <w:textAlignment w:val="baseline"/>
              <w:rPr>
                <w:rFonts w:cstheme="minorHAnsi"/>
                <w:color w:val="222222"/>
              </w:rPr>
            </w:pPr>
            <w:r w:rsidRPr="00EF1965">
              <w:rPr>
                <w:rFonts w:cstheme="minorHAnsi"/>
                <w:color w:val="222222"/>
              </w:rPr>
              <w:t>393</w:t>
            </w:r>
          </w:p>
        </w:tc>
        <w:tc>
          <w:tcPr>
            <w:tcW w:w="86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1965" w:rsidRPr="00EF1965" w:rsidRDefault="00EF1965" w:rsidP="00EF1965">
            <w:pPr>
              <w:spacing w:after="0"/>
              <w:jc w:val="right"/>
              <w:textAlignment w:val="baseline"/>
              <w:rPr>
                <w:rFonts w:cstheme="minorHAnsi"/>
                <w:color w:val="222222"/>
              </w:rPr>
            </w:pPr>
            <w:r w:rsidRPr="00EF1965">
              <w:rPr>
                <w:rFonts w:cstheme="minorHAnsi"/>
                <w:color w:val="222222"/>
              </w:rPr>
              <w:t>1.822,73</w:t>
            </w:r>
          </w:p>
        </w:tc>
        <w:tc>
          <w:tcPr>
            <w:tcW w:w="95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1965" w:rsidRPr="00EF1965" w:rsidRDefault="00EF1965" w:rsidP="00EF1965">
            <w:pPr>
              <w:spacing w:after="0"/>
              <w:jc w:val="right"/>
              <w:textAlignment w:val="baseline"/>
              <w:rPr>
                <w:rFonts w:cstheme="minorHAnsi"/>
                <w:color w:val="222222"/>
              </w:rPr>
            </w:pPr>
            <w:r w:rsidRPr="00EF1965">
              <w:rPr>
                <w:rFonts w:cstheme="minorHAnsi"/>
                <w:color w:val="222222"/>
              </w:rPr>
              <w:t>5,74</w:t>
            </w:r>
          </w:p>
        </w:tc>
        <w:tc>
          <w:tcPr>
            <w:tcW w:w="192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1965" w:rsidRPr="00EF1965" w:rsidRDefault="00EF1965" w:rsidP="00EF1965">
            <w:pPr>
              <w:spacing w:after="0"/>
              <w:jc w:val="right"/>
              <w:textAlignment w:val="baseline"/>
              <w:rPr>
                <w:rFonts w:cstheme="minorHAnsi"/>
                <w:color w:val="222222"/>
              </w:rPr>
            </w:pPr>
            <w:r w:rsidRPr="00EF1965">
              <w:rPr>
                <w:rFonts w:cstheme="minorHAnsi"/>
                <w:color w:val="222222"/>
              </w:rPr>
              <w:t>8,96</w:t>
            </w:r>
          </w:p>
        </w:tc>
      </w:tr>
      <w:tr w:rsidR="00346BBF" w:rsidRPr="00EF1965" w:rsidTr="00346BBF">
        <w:tc>
          <w:tcPr>
            <w:tcW w:w="34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1965" w:rsidRPr="00EF1965" w:rsidRDefault="00EF1965" w:rsidP="00EF1965">
            <w:pPr>
              <w:spacing w:after="0"/>
              <w:rPr>
                <w:rFonts w:cstheme="minorHAnsi"/>
                <w:color w:val="222222"/>
              </w:rPr>
            </w:pPr>
            <w:r w:rsidRPr="00EF1965">
              <w:rPr>
                <w:rFonts w:cstheme="minorHAnsi"/>
                <w:color w:val="222222"/>
              </w:rPr>
              <w:t>2020</w:t>
            </w:r>
          </w:p>
        </w:tc>
        <w:tc>
          <w:tcPr>
            <w:tcW w:w="91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1965" w:rsidRPr="00EF1965" w:rsidRDefault="00EF1965" w:rsidP="00EF1965">
            <w:pPr>
              <w:spacing w:after="0"/>
              <w:jc w:val="right"/>
              <w:textAlignment w:val="baseline"/>
              <w:rPr>
                <w:rFonts w:cstheme="minorHAnsi"/>
                <w:color w:val="222222"/>
              </w:rPr>
            </w:pPr>
            <w:r w:rsidRPr="00EF1965">
              <w:rPr>
                <w:rFonts w:cstheme="minorHAnsi"/>
                <w:color w:val="222222"/>
              </w:rPr>
              <w:t>352</w:t>
            </w:r>
          </w:p>
        </w:tc>
        <w:tc>
          <w:tcPr>
            <w:tcW w:w="86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1965" w:rsidRPr="00EF1965" w:rsidRDefault="00EF1965" w:rsidP="00EF1965">
            <w:pPr>
              <w:spacing w:after="0"/>
              <w:jc w:val="right"/>
              <w:textAlignment w:val="baseline"/>
              <w:rPr>
                <w:rFonts w:cstheme="minorHAnsi"/>
                <w:color w:val="222222"/>
              </w:rPr>
            </w:pPr>
            <w:r w:rsidRPr="00EF1965">
              <w:rPr>
                <w:rFonts w:cstheme="minorHAnsi"/>
                <w:color w:val="222222"/>
              </w:rPr>
              <w:t>1.764,86</w:t>
            </w:r>
          </w:p>
        </w:tc>
        <w:tc>
          <w:tcPr>
            <w:tcW w:w="95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1965" w:rsidRPr="00EF1965" w:rsidRDefault="00EF1965" w:rsidP="00EF1965">
            <w:pPr>
              <w:spacing w:after="0"/>
              <w:jc w:val="right"/>
              <w:textAlignment w:val="baseline"/>
              <w:rPr>
                <w:rFonts w:cstheme="minorHAnsi"/>
                <w:color w:val="222222"/>
              </w:rPr>
            </w:pPr>
            <w:r w:rsidRPr="00EF1965">
              <w:rPr>
                <w:rFonts w:cstheme="minorHAnsi"/>
                <w:color w:val="222222"/>
              </w:rPr>
              <w:t>5,77</w:t>
            </w:r>
          </w:p>
        </w:tc>
        <w:tc>
          <w:tcPr>
            <w:tcW w:w="192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1965" w:rsidRPr="00EF1965" w:rsidRDefault="00EF1965" w:rsidP="00EF1965">
            <w:pPr>
              <w:spacing w:after="0"/>
              <w:jc w:val="right"/>
              <w:textAlignment w:val="baseline"/>
              <w:rPr>
                <w:rFonts w:cstheme="minorHAnsi"/>
                <w:color w:val="222222"/>
              </w:rPr>
            </w:pPr>
            <w:r w:rsidRPr="00EF1965">
              <w:rPr>
                <w:rFonts w:cstheme="minorHAnsi"/>
                <w:color w:val="222222"/>
              </w:rPr>
              <w:t>10,59</w:t>
            </w:r>
          </w:p>
        </w:tc>
      </w:tr>
    </w:tbl>
    <w:p w:rsidR="00A9790F" w:rsidRDefault="00A9790F" w:rsidP="00A9790F">
      <w:r w:rsidRPr="00A9790F">
        <w:rPr>
          <w:i/>
          <w:iCs/>
        </w:rPr>
        <w:t>Fonte: Biblioteca scientifica IOV</w:t>
      </w:r>
    </w:p>
    <w:sectPr w:rsidR="00A9790F" w:rsidSect="009E622B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B49" w:rsidRDefault="00A61B49" w:rsidP="005A326D">
      <w:pPr>
        <w:spacing w:after="0" w:line="240" w:lineRule="auto"/>
      </w:pPr>
      <w:r>
        <w:separator/>
      </w:r>
    </w:p>
  </w:endnote>
  <w:endnote w:type="continuationSeparator" w:id="0">
    <w:p w:rsidR="00A61B49" w:rsidRDefault="00A61B49" w:rsidP="005A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6D" w:rsidRDefault="005A326D">
    <w:pPr>
      <w:pStyle w:val="Pidipagina"/>
    </w:pPr>
    <w:r>
      <w:t>Ultimo aggiornamento: 04/2024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B49" w:rsidRDefault="00A61B49" w:rsidP="005A326D">
      <w:pPr>
        <w:spacing w:after="0" w:line="240" w:lineRule="auto"/>
      </w:pPr>
      <w:r>
        <w:separator/>
      </w:r>
    </w:p>
  </w:footnote>
  <w:footnote w:type="continuationSeparator" w:id="0">
    <w:p w:rsidR="00A61B49" w:rsidRDefault="00A61B49" w:rsidP="005A3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0F"/>
    <w:rsid w:val="0011467A"/>
    <w:rsid w:val="00156EE5"/>
    <w:rsid w:val="00346BBF"/>
    <w:rsid w:val="003F788E"/>
    <w:rsid w:val="005A326D"/>
    <w:rsid w:val="0064544F"/>
    <w:rsid w:val="00646805"/>
    <w:rsid w:val="006D354E"/>
    <w:rsid w:val="00911025"/>
    <w:rsid w:val="009E622B"/>
    <w:rsid w:val="00A61B49"/>
    <w:rsid w:val="00A9790F"/>
    <w:rsid w:val="00AD3C63"/>
    <w:rsid w:val="00BF02AD"/>
    <w:rsid w:val="00C05D8B"/>
    <w:rsid w:val="00C26CEC"/>
    <w:rsid w:val="00C74C3B"/>
    <w:rsid w:val="00C77B46"/>
    <w:rsid w:val="00C84870"/>
    <w:rsid w:val="00D53868"/>
    <w:rsid w:val="00D83513"/>
    <w:rsid w:val="00DC0697"/>
    <w:rsid w:val="00E133C1"/>
    <w:rsid w:val="00EF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6E7B"/>
  <w15:chartTrackingRefBased/>
  <w15:docId w15:val="{8F12C88F-99F1-4A46-A1F7-3946DEE2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790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A32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326D"/>
  </w:style>
  <w:style w:type="paragraph" w:styleId="Pidipagina">
    <w:name w:val="footer"/>
    <w:basedOn w:val="Normale"/>
    <w:link w:val="PidipaginaCarattere"/>
    <w:uiPriority w:val="99"/>
    <w:unhideWhenUsed/>
    <w:rsid w:val="005A32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3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4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64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9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3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6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5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9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5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5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Oncologico Veneto</Company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Cioffredi</dc:creator>
  <cp:keywords/>
  <dc:description/>
  <cp:lastModifiedBy>Piero Cioffredi</cp:lastModifiedBy>
  <cp:revision>6</cp:revision>
  <dcterms:created xsi:type="dcterms:W3CDTF">2023-07-25T09:25:00Z</dcterms:created>
  <dcterms:modified xsi:type="dcterms:W3CDTF">2024-04-19T07:02:00Z</dcterms:modified>
</cp:coreProperties>
</file>